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E82DEB" w14:textId="291C40D3" w:rsidR="00AC1B77" w:rsidRPr="00D55922" w:rsidRDefault="35ED0DC6" w:rsidP="00223F6A">
      <w:pPr>
        <w:spacing w:after="0" w:line="240" w:lineRule="auto"/>
        <w:contextualSpacing/>
        <w:rPr>
          <w:rFonts w:ascii="Arial" w:hAnsi="Arial" w:cs="Arial"/>
          <w:b/>
          <w:bCs/>
          <w:sz w:val="22"/>
          <w:u w:val="single"/>
        </w:rPr>
      </w:pPr>
      <w:r w:rsidRPr="00D55922">
        <w:rPr>
          <w:rFonts w:ascii="Arial" w:hAnsi="Arial" w:cs="Arial"/>
          <w:b/>
          <w:bCs/>
          <w:sz w:val="22"/>
          <w:u w:val="single"/>
        </w:rPr>
        <w:t>FOR IMMEDIATE RELEASE</w:t>
      </w:r>
    </w:p>
    <w:p w14:paraId="7BE91FCD" w14:textId="3802C244" w:rsidR="000C57CE" w:rsidRPr="00D55922" w:rsidRDefault="000C57CE" w:rsidP="00223F6A">
      <w:pPr>
        <w:shd w:val="clear" w:color="auto" w:fill="FFFFFF"/>
        <w:spacing w:after="0" w:line="240" w:lineRule="auto"/>
        <w:contextualSpacing/>
        <w:rPr>
          <w:rFonts w:ascii="Arial" w:hAnsi="Arial" w:cs="Arial"/>
          <w:sz w:val="22"/>
        </w:rPr>
      </w:pPr>
      <w:r w:rsidRPr="00D55922">
        <w:rPr>
          <w:rFonts w:ascii="Arial" w:hAnsi="Arial" w:cs="Arial"/>
          <w:sz w:val="22"/>
        </w:rPr>
        <w:t xml:space="preserve">Media Contact: Megan Schumann, 848.445.1907, </w:t>
      </w:r>
      <w:hyperlink r:id="rId8" w:history="1">
        <w:r w:rsidRPr="00D55922">
          <w:rPr>
            <w:rStyle w:val="Hyperlink"/>
            <w:rFonts w:ascii="Arial" w:hAnsi="Arial" w:cs="Arial"/>
            <w:color w:val="auto"/>
            <w:sz w:val="22"/>
          </w:rPr>
          <w:t>megan.schumann@rutgers.edu</w:t>
        </w:r>
      </w:hyperlink>
    </w:p>
    <w:p w14:paraId="7CCB99CE" w14:textId="77777777" w:rsidR="00223F6A" w:rsidRPr="00D55922" w:rsidRDefault="00223F6A" w:rsidP="00223F6A">
      <w:pPr>
        <w:spacing w:after="0" w:line="240" w:lineRule="auto"/>
        <w:contextualSpacing/>
        <w:rPr>
          <w:rFonts w:ascii="Arial" w:hAnsi="Arial" w:cs="Arial"/>
          <w:b/>
          <w:bCs/>
          <w:sz w:val="22"/>
        </w:rPr>
      </w:pPr>
    </w:p>
    <w:p w14:paraId="40A4495D" w14:textId="6E7AEC64" w:rsidR="00D04188" w:rsidRPr="00D55922" w:rsidRDefault="35ED0DC6" w:rsidP="00223F6A">
      <w:pPr>
        <w:spacing w:after="0" w:line="240" w:lineRule="auto"/>
        <w:contextualSpacing/>
        <w:rPr>
          <w:rFonts w:ascii="Arial" w:hAnsi="Arial" w:cs="Arial"/>
          <w:b/>
          <w:bCs/>
          <w:sz w:val="22"/>
        </w:rPr>
      </w:pPr>
      <w:r w:rsidRPr="00D55922">
        <w:rPr>
          <w:rFonts w:ascii="Arial" w:hAnsi="Arial" w:cs="Arial"/>
          <w:b/>
          <w:bCs/>
          <w:sz w:val="22"/>
        </w:rPr>
        <w:t>Rutgers Researchers Find Gambling Risks Among Young Americans, Including Teens as Young as 13</w:t>
      </w:r>
    </w:p>
    <w:p w14:paraId="35BF7BEC" w14:textId="077578B4" w:rsidR="00190D84" w:rsidRPr="00D55922" w:rsidRDefault="35ED0DC6" w:rsidP="00223F6A">
      <w:pPr>
        <w:spacing w:after="0" w:line="240" w:lineRule="auto"/>
        <w:contextualSpacing/>
        <w:rPr>
          <w:rFonts w:ascii="Arial" w:hAnsi="Arial" w:cs="Arial"/>
          <w:i/>
          <w:iCs/>
          <w:sz w:val="22"/>
        </w:rPr>
      </w:pPr>
      <w:r w:rsidRPr="00D55922">
        <w:rPr>
          <w:rFonts w:ascii="Arial" w:hAnsi="Arial" w:cs="Arial"/>
          <w:i/>
          <w:iCs/>
          <w:sz w:val="22"/>
        </w:rPr>
        <w:t>According to a national survey, 43% of teenagers gambled in the past year, with exposure to family gambling especially common among high-risk teen gamblers</w:t>
      </w:r>
    </w:p>
    <w:p w14:paraId="6DC9569E" w14:textId="77777777" w:rsidR="00D04188" w:rsidRPr="00D55922" w:rsidRDefault="00D04188" w:rsidP="00223F6A">
      <w:pPr>
        <w:spacing w:after="0" w:line="240" w:lineRule="auto"/>
        <w:contextualSpacing/>
        <w:rPr>
          <w:rFonts w:ascii="Arial" w:hAnsi="Arial" w:cs="Arial"/>
          <w:sz w:val="22"/>
        </w:rPr>
      </w:pPr>
    </w:p>
    <w:p w14:paraId="26A902F0" w14:textId="7DFD24BC" w:rsidR="00153500" w:rsidRPr="00D55922" w:rsidRDefault="003909C2" w:rsidP="00223F6A">
      <w:pPr>
        <w:spacing w:after="0" w:line="240" w:lineRule="auto"/>
        <w:contextualSpacing/>
        <w:rPr>
          <w:rFonts w:ascii="Arial" w:hAnsi="Arial" w:cs="Arial"/>
          <w:sz w:val="22"/>
        </w:rPr>
      </w:pPr>
      <w:r w:rsidRPr="00D55922">
        <w:rPr>
          <w:rFonts w:ascii="Arial" w:hAnsi="Arial" w:cs="Arial"/>
          <w:sz w:val="22"/>
        </w:rPr>
        <w:t xml:space="preserve">NEW BRUNSWICK, N.J., </w:t>
      </w:r>
      <w:bookmarkStart w:id="0" w:name="_Int_1H5XDl3w"/>
      <w:r w:rsidRPr="00D55922">
        <w:rPr>
          <w:rFonts w:ascii="Arial" w:hAnsi="Arial" w:cs="Arial"/>
          <w:sz w:val="22"/>
        </w:rPr>
        <w:t>Oct</w:t>
      </w:r>
      <w:r w:rsidR="00223F6A" w:rsidRPr="00D55922">
        <w:rPr>
          <w:rFonts w:ascii="Arial" w:hAnsi="Arial" w:cs="Arial"/>
          <w:sz w:val="22"/>
        </w:rPr>
        <w:t>. 28</w:t>
      </w:r>
      <w:r w:rsidRPr="00D55922">
        <w:rPr>
          <w:rFonts w:ascii="Arial" w:hAnsi="Arial" w:cs="Arial"/>
          <w:sz w:val="22"/>
        </w:rPr>
        <w:t>,</w:t>
      </w:r>
      <w:bookmarkEnd w:id="0"/>
      <w:r w:rsidRPr="00D55922">
        <w:rPr>
          <w:rFonts w:ascii="Arial" w:hAnsi="Arial" w:cs="Arial"/>
          <w:sz w:val="22"/>
        </w:rPr>
        <w:t xml:space="preserve"> 2026 </w:t>
      </w:r>
      <w:r w:rsidR="1BF40421" w:rsidRPr="00D55922">
        <w:rPr>
          <w:rFonts w:ascii="Arial" w:hAnsi="Arial" w:cs="Arial"/>
          <w:sz w:val="22"/>
        </w:rPr>
        <w:t xml:space="preserve">— More than half (52.5%) of Americans ages 13 to 27 reported gambling in the past year, including 42.7% of teens ages 13 to 17, according to </w:t>
      </w:r>
      <w:hyperlink r:id="rId9" w:history="1">
        <w:r w:rsidR="1BF40421" w:rsidRPr="00D55922">
          <w:rPr>
            <w:rStyle w:val="Hyperlink"/>
            <w:rFonts w:ascii="Arial" w:hAnsi="Arial" w:cs="Arial"/>
            <w:sz w:val="22"/>
          </w:rPr>
          <w:t>researchers at the Center for Gambling Studies at the Rutgers School of Social Work</w:t>
        </w:r>
      </w:hyperlink>
      <w:r w:rsidR="1BF40421" w:rsidRPr="00D55922">
        <w:rPr>
          <w:rFonts w:ascii="Arial" w:hAnsi="Arial" w:cs="Arial"/>
          <w:sz w:val="22"/>
        </w:rPr>
        <w:t>.</w:t>
      </w:r>
    </w:p>
    <w:p w14:paraId="669B3406" w14:textId="77777777" w:rsidR="00D04188" w:rsidRPr="00D55922" w:rsidRDefault="00D04188" w:rsidP="00223F6A">
      <w:pPr>
        <w:spacing w:after="0" w:line="240" w:lineRule="auto"/>
        <w:contextualSpacing/>
        <w:rPr>
          <w:rFonts w:ascii="Arial" w:hAnsi="Arial" w:cs="Arial"/>
          <w:sz w:val="22"/>
        </w:rPr>
      </w:pPr>
    </w:p>
    <w:p w14:paraId="72E44875" w14:textId="77777777" w:rsidR="00D345CD" w:rsidRPr="00D55922" w:rsidRDefault="35ED0DC6" w:rsidP="00D345CD">
      <w:pPr>
        <w:spacing w:after="0" w:line="240" w:lineRule="auto"/>
        <w:contextualSpacing/>
        <w:rPr>
          <w:rFonts w:ascii="Arial" w:hAnsi="Arial" w:cs="Arial"/>
          <w:sz w:val="22"/>
        </w:rPr>
      </w:pPr>
      <w:r w:rsidRPr="00D55922">
        <w:rPr>
          <w:rFonts w:ascii="Arial" w:hAnsi="Arial" w:cs="Arial"/>
          <w:sz w:val="22"/>
        </w:rPr>
        <w:t xml:space="preserve">“We are living in a time where anyone can have a casino or sports book in their pocket,” said </w:t>
      </w:r>
      <w:hyperlink r:id="rId10">
        <w:r w:rsidRPr="00D55922">
          <w:rPr>
            <w:rStyle w:val="Hyperlink"/>
            <w:rFonts w:ascii="Arial" w:hAnsi="Arial" w:cs="Arial"/>
            <w:sz w:val="22"/>
          </w:rPr>
          <w:t>Lia Nower</w:t>
        </w:r>
      </w:hyperlink>
      <w:r w:rsidRPr="00D55922">
        <w:rPr>
          <w:rFonts w:ascii="Arial" w:hAnsi="Arial" w:cs="Arial"/>
          <w:sz w:val="22"/>
        </w:rPr>
        <w:t>, director of the center, who led the study. “Now teens who should be playing sports are betting on them, often with family members.”</w:t>
      </w:r>
    </w:p>
    <w:p w14:paraId="750493CA" w14:textId="77777777" w:rsidR="00D345CD" w:rsidRPr="00D55922" w:rsidRDefault="00D345CD" w:rsidP="00D345CD">
      <w:pPr>
        <w:spacing w:after="0" w:line="240" w:lineRule="auto"/>
        <w:contextualSpacing/>
        <w:rPr>
          <w:rFonts w:ascii="Arial" w:hAnsi="Arial" w:cs="Arial"/>
          <w:sz w:val="22"/>
        </w:rPr>
      </w:pPr>
    </w:p>
    <w:p w14:paraId="4F4271C0" w14:textId="4D5968CB" w:rsidR="00D345CD" w:rsidRPr="00D55922" w:rsidRDefault="00D345CD" w:rsidP="00223F6A">
      <w:pPr>
        <w:spacing w:after="0" w:line="240" w:lineRule="auto"/>
        <w:contextualSpacing/>
        <w:rPr>
          <w:rFonts w:ascii="Arial" w:hAnsi="Arial" w:cs="Arial"/>
          <w:sz w:val="22"/>
        </w:rPr>
      </w:pPr>
      <w:r w:rsidRPr="00D55922">
        <w:rPr>
          <w:rFonts w:ascii="Arial" w:hAnsi="Arial" w:cs="Arial"/>
          <w:sz w:val="22"/>
        </w:rPr>
        <w:t xml:space="preserve">In the first national prevalence study of U.S. adolescents and young adults in </w:t>
      </w:r>
      <w:hyperlink r:id="rId11" w:history="1">
        <w:r w:rsidRPr="00D55922">
          <w:rPr>
            <w:rStyle w:val="Hyperlink"/>
            <w:rFonts w:ascii="Arial" w:hAnsi="Arial" w:cs="Arial"/>
            <w:sz w:val="22"/>
          </w:rPr>
          <w:t>nearly 20 years</w:t>
        </w:r>
      </w:hyperlink>
      <w:r w:rsidRPr="00D55922">
        <w:rPr>
          <w:rFonts w:ascii="Arial" w:hAnsi="Arial" w:cs="Arial"/>
          <w:sz w:val="22"/>
        </w:rPr>
        <w:t>, researchers examined 21 gambling activities, ranging from bingo, raffles and games of skill to sports betting, cryptocurrency trading, esports betting and trading on prediction markets. The findings encompass online and in-person activities.</w:t>
      </w:r>
    </w:p>
    <w:p w14:paraId="3F12076A" w14:textId="77777777" w:rsidR="00D345CD" w:rsidRPr="00D55922" w:rsidRDefault="00D345CD" w:rsidP="00223F6A">
      <w:pPr>
        <w:spacing w:after="0" w:line="240" w:lineRule="auto"/>
        <w:contextualSpacing/>
        <w:rPr>
          <w:rFonts w:ascii="Arial" w:hAnsi="Arial" w:cs="Arial"/>
          <w:sz w:val="22"/>
        </w:rPr>
      </w:pPr>
    </w:p>
    <w:p w14:paraId="631EAEB1" w14:textId="4312B0B6" w:rsidR="00F57F88" w:rsidRPr="00D55922" w:rsidRDefault="35ED0DC6" w:rsidP="00223F6A">
      <w:pPr>
        <w:spacing w:after="0" w:line="240" w:lineRule="auto"/>
        <w:contextualSpacing/>
        <w:rPr>
          <w:rFonts w:ascii="Arial" w:hAnsi="Arial" w:cs="Arial"/>
          <w:sz w:val="22"/>
        </w:rPr>
      </w:pPr>
      <w:r w:rsidRPr="00D55922">
        <w:rPr>
          <w:rFonts w:ascii="Arial" w:hAnsi="Arial" w:cs="Arial"/>
          <w:sz w:val="22"/>
        </w:rPr>
        <w:t>The researchers surveyed 1,677 young Americans and found 5.4% of all respondents were high</w:t>
      </w:r>
      <w:r w:rsidR="00E34B3A" w:rsidRPr="00D55922">
        <w:rPr>
          <w:rFonts w:ascii="Arial" w:hAnsi="Arial" w:cs="Arial"/>
          <w:sz w:val="22"/>
        </w:rPr>
        <w:t>-</w:t>
      </w:r>
      <w:r w:rsidRPr="00D55922">
        <w:rPr>
          <w:rFonts w:ascii="Arial" w:hAnsi="Arial" w:cs="Arial"/>
          <w:sz w:val="22"/>
        </w:rPr>
        <w:t xml:space="preserve">risk problem gamblers, </w:t>
      </w:r>
      <w:r w:rsidR="00F57F88" w:rsidRPr="00D55922">
        <w:rPr>
          <w:rFonts w:ascii="Arial" w:hAnsi="Arial" w:cs="Arial"/>
          <w:sz w:val="22"/>
        </w:rPr>
        <w:t>a classification that corresponds to gambling addiction in clinical settings.</w:t>
      </w:r>
    </w:p>
    <w:p w14:paraId="1CFBAB71" w14:textId="77777777" w:rsidR="00F57F88" w:rsidRPr="00D55922" w:rsidRDefault="00F57F88" w:rsidP="00223F6A">
      <w:pPr>
        <w:spacing w:after="0" w:line="240" w:lineRule="auto"/>
        <w:contextualSpacing/>
        <w:rPr>
          <w:rFonts w:ascii="Arial" w:hAnsi="Arial" w:cs="Arial"/>
          <w:sz w:val="22"/>
        </w:rPr>
      </w:pPr>
    </w:p>
    <w:p w14:paraId="4AF5274D" w14:textId="49BA7C00" w:rsidR="00D04188" w:rsidRPr="00D55922" w:rsidRDefault="00BF564E" w:rsidP="00223F6A">
      <w:pPr>
        <w:spacing w:after="0" w:line="240" w:lineRule="auto"/>
        <w:contextualSpacing/>
        <w:rPr>
          <w:rFonts w:ascii="Arial" w:hAnsi="Arial" w:cs="Arial"/>
          <w:sz w:val="22"/>
        </w:rPr>
      </w:pPr>
      <w:r w:rsidRPr="00D55922">
        <w:rPr>
          <w:rFonts w:ascii="Arial" w:hAnsi="Arial" w:cs="Arial"/>
          <w:sz w:val="22"/>
        </w:rPr>
        <w:t xml:space="preserve">Among those who gambled in the past year, 39.5% showed some symptoms of problem gambling and </w:t>
      </w:r>
      <w:r w:rsidR="005E4A50">
        <w:rPr>
          <w:rFonts w:ascii="Arial" w:hAnsi="Arial" w:cs="Arial"/>
          <w:sz w:val="22"/>
        </w:rPr>
        <w:t>10</w:t>
      </w:r>
      <w:r w:rsidR="004376AD">
        <w:rPr>
          <w:rFonts w:ascii="Arial" w:hAnsi="Arial" w:cs="Arial"/>
          <w:sz w:val="22"/>
        </w:rPr>
        <w:t>.</w:t>
      </w:r>
      <w:r w:rsidR="005E00A8">
        <w:rPr>
          <w:rFonts w:ascii="Arial" w:hAnsi="Arial" w:cs="Arial"/>
          <w:sz w:val="22"/>
        </w:rPr>
        <w:t>3</w:t>
      </w:r>
      <w:r w:rsidR="002955BF">
        <w:rPr>
          <w:rFonts w:ascii="Arial" w:hAnsi="Arial" w:cs="Arial"/>
          <w:sz w:val="22"/>
        </w:rPr>
        <w:t>%</w:t>
      </w:r>
      <w:r w:rsidRPr="00D55922">
        <w:rPr>
          <w:rFonts w:ascii="Arial" w:hAnsi="Arial" w:cs="Arial"/>
          <w:sz w:val="22"/>
        </w:rPr>
        <w:t xml:space="preserve"> were high-risk problem gamblers</w:t>
      </w:r>
      <w:r w:rsidRPr="00236D75">
        <w:rPr>
          <w:rFonts w:ascii="Arial" w:hAnsi="Arial" w:cs="Arial"/>
          <w:b/>
          <w:bCs/>
          <w:sz w:val="22"/>
        </w:rPr>
        <w:t xml:space="preserve">. </w:t>
      </w:r>
      <w:r w:rsidRPr="00DB2923">
        <w:rPr>
          <w:rFonts w:ascii="Arial" w:hAnsi="Arial" w:cs="Arial"/>
          <w:sz w:val="22"/>
        </w:rPr>
        <w:t>Among teenage gamblers ages 13 to 17,</w:t>
      </w:r>
      <w:r w:rsidRPr="00D55922">
        <w:rPr>
          <w:rFonts w:ascii="Arial" w:hAnsi="Arial" w:cs="Arial"/>
          <w:sz w:val="22"/>
        </w:rPr>
        <w:t xml:space="preserve"> </w:t>
      </w:r>
      <w:r w:rsidR="006B0C64">
        <w:rPr>
          <w:rFonts w:ascii="Arial" w:hAnsi="Arial" w:cs="Arial"/>
          <w:sz w:val="22"/>
        </w:rPr>
        <w:t>about 11</w:t>
      </w:r>
      <w:r w:rsidRPr="00D55922">
        <w:rPr>
          <w:rFonts w:ascii="Arial" w:hAnsi="Arial" w:cs="Arial"/>
          <w:sz w:val="22"/>
        </w:rPr>
        <w:t>% were classified as high risk</w:t>
      </w:r>
      <w:r w:rsidR="0047111B">
        <w:rPr>
          <w:rFonts w:ascii="Arial" w:hAnsi="Arial" w:cs="Arial"/>
          <w:sz w:val="22"/>
        </w:rPr>
        <w:t xml:space="preserve"> </w:t>
      </w:r>
      <w:r w:rsidR="001411F8">
        <w:rPr>
          <w:rFonts w:ascii="Arial" w:hAnsi="Arial" w:cs="Arial"/>
          <w:sz w:val="22"/>
        </w:rPr>
        <w:t>for problems</w:t>
      </w:r>
      <w:r w:rsidRPr="00D55922">
        <w:rPr>
          <w:rFonts w:ascii="Arial" w:hAnsi="Arial" w:cs="Arial"/>
          <w:sz w:val="22"/>
        </w:rPr>
        <w:t>, despite being below the legal age for</w:t>
      </w:r>
      <w:r w:rsidR="00A87B90">
        <w:rPr>
          <w:rFonts w:ascii="Arial" w:hAnsi="Arial" w:cs="Arial"/>
          <w:sz w:val="22"/>
        </w:rPr>
        <w:t xml:space="preserve"> </w:t>
      </w:r>
      <w:r w:rsidRPr="00D55922">
        <w:rPr>
          <w:rFonts w:ascii="Arial" w:hAnsi="Arial" w:cs="Arial"/>
          <w:sz w:val="22"/>
        </w:rPr>
        <w:t>regulated gambling activities.</w:t>
      </w:r>
    </w:p>
    <w:p w14:paraId="0FFA519E" w14:textId="77777777" w:rsidR="00BF564E" w:rsidRPr="00D55922" w:rsidRDefault="00BF564E" w:rsidP="00223F6A">
      <w:pPr>
        <w:spacing w:after="0" w:line="240" w:lineRule="auto"/>
        <w:contextualSpacing/>
        <w:rPr>
          <w:rFonts w:ascii="Arial" w:hAnsi="Arial" w:cs="Arial"/>
          <w:sz w:val="22"/>
        </w:rPr>
      </w:pPr>
    </w:p>
    <w:p w14:paraId="02DDEDEE" w14:textId="6A89FE7E" w:rsidR="006B5BCC" w:rsidRPr="00D55922" w:rsidRDefault="35ED0DC6" w:rsidP="00223F6A">
      <w:pPr>
        <w:spacing w:after="0" w:line="240" w:lineRule="auto"/>
        <w:contextualSpacing/>
        <w:rPr>
          <w:rFonts w:ascii="Arial" w:hAnsi="Arial" w:cs="Arial"/>
          <w:sz w:val="22"/>
        </w:rPr>
      </w:pPr>
      <w:r w:rsidRPr="00D55922">
        <w:rPr>
          <w:rFonts w:ascii="Arial" w:hAnsi="Arial" w:cs="Arial"/>
          <w:sz w:val="22"/>
        </w:rPr>
        <w:t>“These findings should be a wake-up call for parents, educators, health professionals and policymakers,” Nower said. “Gambling is no longer confined to casinos and lottery tickets. It is increasingly embedded in video games, sports broadcasts and other products young people can access. We have worried this would increase rates of problem gambling among youth. Now we know. It does.”</w:t>
      </w:r>
    </w:p>
    <w:p w14:paraId="03E0C927" w14:textId="77777777" w:rsidR="00D04188" w:rsidRPr="00D55922" w:rsidRDefault="00D04188" w:rsidP="00223F6A">
      <w:pPr>
        <w:spacing w:after="0" w:line="240" w:lineRule="auto"/>
        <w:contextualSpacing/>
        <w:rPr>
          <w:rFonts w:ascii="Arial" w:hAnsi="Arial" w:cs="Arial"/>
          <w:sz w:val="22"/>
        </w:rPr>
      </w:pPr>
    </w:p>
    <w:p w14:paraId="25DAABA4" w14:textId="39F194A8" w:rsidR="00C26F1A" w:rsidRPr="00D55922" w:rsidRDefault="35ED0DC6" w:rsidP="00223F6A">
      <w:pPr>
        <w:spacing w:after="0" w:line="240" w:lineRule="auto"/>
        <w:contextualSpacing/>
        <w:rPr>
          <w:rFonts w:ascii="Arial" w:hAnsi="Arial" w:cs="Arial"/>
          <w:sz w:val="22"/>
        </w:rPr>
      </w:pPr>
      <w:r w:rsidRPr="00D55922">
        <w:rPr>
          <w:rFonts w:ascii="Arial" w:hAnsi="Arial" w:cs="Arial"/>
          <w:sz w:val="22"/>
        </w:rPr>
        <w:t xml:space="preserve">Researchers identified that risk starts early and isn’t limited to boys. Nearly 43% of teens ages 13 to 17 reported gambling in the past year, often through activities such as bingo, raffles and games of skill. Among gamblers, high-risk problem gambling rates were similar for females (10.7%) and males (9.9%). </w:t>
      </w:r>
    </w:p>
    <w:p w14:paraId="61EBB2E0" w14:textId="77777777" w:rsidR="00D04188" w:rsidRPr="00D55922" w:rsidRDefault="00D04188" w:rsidP="00223F6A">
      <w:pPr>
        <w:spacing w:after="0" w:line="240" w:lineRule="auto"/>
        <w:contextualSpacing/>
        <w:rPr>
          <w:rFonts w:ascii="Arial" w:hAnsi="Arial" w:cs="Arial"/>
          <w:sz w:val="22"/>
        </w:rPr>
      </w:pPr>
    </w:p>
    <w:p w14:paraId="42EC4323" w14:textId="015AE5BD" w:rsidR="008E7647" w:rsidRPr="00D55922" w:rsidRDefault="008E7647" w:rsidP="00223F6A">
      <w:pPr>
        <w:spacing w:after="0" w:line="240" w:lineRule="auto"/>
        <w:contextualSpacing/>
        <w:rPr>
          <w:rFonts w:ascii="Arial" w:hAnsi="Arial" w:cs="Arial"/>
          <w:sz w:val="22"/>
        </w:rPr>
      </w:pPr>
      <w:r w:rsidRPr="00D55922">
        <w:rPr>
          <w:rFonts w:ascii="Arial" w:hAnsi="Arial" w:cs="Arial"/>
          <w:sz w:val="22"/>
        </w:rPr>
        <w:t>Other key findings include:</w:t>
      </w:r>
    </w:p>
    <w:p w14:paraId="15A5359C" w14:textId="77777777" w:rsidR="00D04188" w:rsidRPr="00D55922" w:rsidRDefault="00D04188" w:rsidP="00223F6A">
      <w:pPr>
        <w:spacing w:after="0" w:line="240" w:lineRule="auto"/>
        <w:contextualSpacing/>
        <w:rPr>
          <w:rFonts w:ascii="Arial" w:hAnsi="Arial" w:cs="Arial"/>
          <w:sz w:val="22"/>
        </w:rPr>
      </w:pPr>
    </w:p>
    <w:p w14:paraId="6B86DB03" w14:textId="6168BCE3" w:rsidR="00976CE9" w:rsidRPr="00D55922" w:rsidRDefault="002C65EB" w:rsidP="00223F6A">
      <w:pPr>
        <w:pStyle w:val="ListParagraph"/>
        <w:numPr>
          <w:ilvl w:val="0"/>
          <w:numId w:val="12"/>
        </w:numPr>
        <w:spacing w:after="0" w:line="240" w:lineRule="auto"/>
        <w:rPr>
          <w:rFonts w:ascii="Arial" w:hAnsi="Arial" w:cs="Arial"/>
          <w:color w:val="000000" w:themeColor="text1"/>
          <w:kern w:val="2"/>
          <w:sz w:val="22"/>
          <w14:ligatures w14:val="standardContextual"/>
        </w:rPr>
      </w:pPr>
      <w:r w:rsidRPr="00D55922">
        <w:rPr>
          <w:rFonts w:ascii="Arial" w:hAnsi="Arial" w:cs="Arial"/>
          <w:color w:val="000000" w:themeColor="text1"/>
          <w:kern w:val="2"/>
          <w:sz w:val="22"/>
          <w14:ligatures w14:val="standardContextual"/>
        </w:rPr>
        <w:t xml:space="preserve">Racial and ethnic differences were pronounced. </w:t>
      </w:r>
      <w:r w:rsidR="35ED0DC6" w:rsidRPr="00D55922">
        <w:rPr>
          <w:rFonts w:ascii="Arial" w:hAnsi="Arial" w:cs="Arial"/>
          <w:color w:val="000000" w:themeColor="text1"/>
          <w:sz w:val="22"/>
        </w:rPr>
        <w:t xml:space="preserve">Black respondents reported the highest </w:t>
      </w:r>
      <w:r w:rsidR="00BF34BA" w:rsidRPr="00D55922">
        <w:rPr>
          <w:rFonts w:ascii="Arial" w:hAnsi="Arial" w:cs="Arial"/>
          <w:color w:val="000000" w:themeColor="text1"/>
          <w:kern w:val="2"/>
          <w:sz w:val="22"/>
          <w14:ligatures w14:val="standardContextual"/>
        </w:rPr>
        <w:t>p</w:t>
      </w:r>
      <w:r w:rsidR="00D232DA" w:rsidRPr="00D55922">
        <w:rPr>
          <w:rFonts w:ascii="Arial" w:hAnsi="Arial" w:cs="Arial"/>
          <w:color w:val="000000" w:themeColor="text1"/>
          <w:kern w:val="2"/>
          <w:sz w:val="22"/>
          <w14:ligatures w14:val="standardContextual"/>
        </w:rPr>
        <w:t>articip</w:t>
      </w:r>
      <w:r w:rsidR="002200F2" w:rsidRPr="00D55922">
        <w:rPr>
          <w:rFonts w:ascii="Arial" w:hAnsi="Arial" w:cs="Arial"/>
          <w:color w:val="000000" w:themeColor="text1"/>
          <w:kern w:val="2"/>
          <w:sz w:val="22"/>
          <w14:ligatures w14:val="standardContextual"/>
        </w:rPr>
        <w:t xml:space="preserve">ation in </w:t>
      </w:r>
      <w:r w:rsidRPr="00D55922">
        <w:rPr>
          <w:rFonts w:ascii="Arial" w:hAnsi="Arial" w:cs="Arial"/>
          <w:color w:val="000000" w:themeColor="text1"/>
          <w:kern w:val="2"/>
          <w:sz w:val="22"/>
          <w14:ligatures w14:val="standardContextual"/>
        </w:rPr>
        <w:t>gambling</w:t>
      </w:r>
      <w:r w:rsidR="00D00ED1" w:rsidRPr="00D55922">
        <w:rPr>
          <w:rFonts w:ascii="Arial" w:hAnsi="Arial" w:cs="Arial"/>
          <w:color w:val="000000" w:themeColor="text1"/>
          <w:kern w:val="2"/>
          <w:sz w:val="22"/>
          <w14:ligatures w14:val="standardContextual"/>
        </w:rPr>
        <w:t xml:space="preserve"> in </w:t>
      </w:r>
      <w:r w:rsidR="006D12E5" w:rsidRPr="00D55922">
        <w:rPr>
          <w:rFonts w:ascii="Arial" w:hAnsi="Arial" w:cs="Arial"/>
          <w:color w:val="000000" w:themeColor="text1"/>
          <w:kern w:val="2"/>
          <w:sz w:val="22"/>
          <w14:ligatures w14:val="standardContextual"/>
        </w:rPr>
        <w:t>the past year</w:t>
      </w:r>
      <w:r w:rsidRPr="00D55922">
        <w:rPr>
          <w:rFonts w:ascii="Arial" w:hAnsi="Arial" w:cs="Arial"/>
          <w:color w:val="000000" w:themeColor="text1"/>
          <w:kern w:val="2"/>
          <w:sz w:val="22"/>
          <w14:ligatures w14:val="standardContextual"/>
        </w:rPr>
        <w:t xml:space="preserve"> (63.9%). Among those who gambled, 17.7% of Black</w:t>
      </w:r>
      <w:r w:rsidR="00532042" w:rsidRPr="00D55922">
        <w:rPr>
          <w:rFonts w:ascii="Arial" w:hAnsi="Arial" w:cs="Arial"/>
          <w:color w:val="000000" w:themeColor="text1"/>
          <w:kern w:val="2"/>
          <w:sz w:val="22"/>
          <w14:ligatures w14:val="standardContextual"/>
        </w:rPr>
        <w:t xml:space="preserve"> respondents</w:t>
      </w:r>
      <w:r w:rsidR="001E00C8" w:rsidRPr="00D55922">
        <w:rPr>
          <w:rFonts w:ascii="Arial" w:hAnsi="Arial" w:cs="Arial"/>
          <w:color w:val="000000" w:themeColor="text1"/>
          <w:kern w:val="2"/>
          <w:sz w:val="22"/>
          <w14:ligatures w14:val="standardContextual"/>
        </w:rPr>
        <w:t xml:space="preserve"> </w:t>
      </w:r>
      <w:r w:rsidRPr="00D55922">
        <w:rPr>
          <w:rFonts w:ascii="Arial" w:hAnsi="Arial" w:cs="Arial"/>
          <w:color w:val="000000" w:themeColor="text1"/>
          <w:kern w:val="2"/>
          <w:sz w:val="22"/>
          <w14:ligatures w14:val="standardContextual"/>
        </w:rPr>
        <w:t>and 12.8% of Hispanic</w:t>
      </w:r>
      <w:r w:rsidR="00532042" w:rsidRPr="00D55922">
        <w:rPr>
          <w:rFonts w:ascii="Arial" w:hAnsi="Arial" w:cs="Arial"/>
          <w:color w:val="000000" w:themeColor="text1"/>
          <w:kern w:val="2"/>
          <w:sz w:val="22"/>
          <w14:ligatures w14:val="standardContextual"/>
        </w:rPr>
        <w:t xml:space="preserve"> respondents</w:t>
      </w:r>
      <w:r w:rsidRPr="00D55922">
        <w:rPr>
          <w:rFonts w:ascii="Arial" w:hAnsi="Arial" w:cs="Arial"/>
          <w:color w:val="000000" w:themeColor="text1"/>
          <w:kern w:val="2"/>
          <w:sz w:val="22"/>
          <w14:ligatures w14:val="standardContextual"/>
        </w:rPr>
        <w:t xml:space="preserve"> were classified as high</w:t>
      </w:r>
      <w:r w:rsidR="00532042" w:rsidRPr="00D55922">
        <w:rPr>
          <w:rFonts w:ascii="Arial" w:hAnsi="Arial" w:cs="Arial"/>
          <w:color w:val="000000" w:themeColor="text1"/>
          <w:kern w:val="2"/>
          <w:sz w:val="22"/>
          <w14:ligatures w14:val="standardContextual"/>
        </w:rPr>
        <w:t>-</w:t>
      </w:r>
      <w:r w:rsidRPr="00D55922">
        <w:rPr>
          <w:rFonts w:ascii="Arial" w:hAnsi="Arial" w:cs="Arial"/>
          <w:color w:val="000000" w:themeColor="text1"/>
          <w:kern w:val="2"/>
          <w:sz w:val="22"/>
          <w14:ligatures w14:val="standardContextual"/>
        </w:rPr>
        <w:t>risk</w:t>
      </w:r>
      <w:r w:rsidR="00BF6F2E" w:rsidRPr="00D55922">
        <w:rPr>
          <w:rFonts w:ascii="Arial" w:hAnsi="Arial" w:cs="Arial"/>
          <w:color w:val="000000" w:themeColor="text1"/>
          <w:kern w:val="2"/>
          <w:sz w:val="22"/>
          <w14:ligatures w14:val="standardContextual"/>
        </w:rPr>
        <w:t xml:space="preserve"> probl</w:t>
      </w:r>
      <w:r w:rsidR="004E07D0" w:rsidRPr="00D55922">
        <w:rPr>
          <w:rFonts w:ascii="Arial" w:hAnsi="Arial" w:cs="Arial"/>
          <w:color w:val="000000" w:themeColor="text1"/>
          <w:kern w:val="2"/>
          <w:sz w:val="22"/>
          <w14:ligatures w14:val="standardContextual"/>
        </w:rPr>
        <w:t>em ga</w:t>
      </w:r>
      <w:r w:rsidR="00AD7A8F" w:rsidRPr="00D55922">
        <w:rPr>
          <w:rFonts w:ascii="Arial" w:hAnsi="Arial" w:cs="Arial"/>
          <w:color w:val="000000" w:themeColor="text1"/>
          <w:kern w:val="2"/>
          <w:sz w:val="22"/>
          <w14:ligatures w14:val="standardContextual"/>
        </w:rPr>
        <w:t>mblers</w:t>
      </w:r>
      <w:r w:rsidRPr="00D55922">
        <w:rPr>
          <w:rFonts w:ascii="Arial" w:hAnsi="Arial" w:cs="Arial"/>
          <w:color w:val="000000" w:themeColor="text1"/>
          <w:kern w:val="2"/>
          <w:sz w:val="22"/>
          <w14:ligatures w14:val="standardContextual"/>
        </w:rPr>
        <w:t xml:space="preserve">, compared with 6.4% of </w:t>
      </w:r>
      <w:r w:rsidR="35ED0DC6" w:rsidRPr="00D55922">
        <w:rPr>
          <w:rFonts w:ascii="Arial" w:hAnsi="Arial" w:cs="Arial"/>
          <w:color w:val="000000" w:themeColor="text1"/>
          <w:sz w:val="22"/>
        </w:rPr>
        <w:t>white respondents.</w:t>
      </w:r>
    </w:p>
    <w:p w14:paraId="79848202" w14:textId="74A4D21E" w:rsidR="00195EF5" w:rsidRPr="00D55922" w:rsidRDefault="002C65EB" w:rsidP="00223F6A">
      <w:pPr>
        <w:pStyle w:val="ListParagraph"/>
        <w:numPr>
          <w:ilvl w:val="0"/>
          <w:numId w:val="12"/>
        </w:numPr>
        <w:spacing w:after="0" w:line="240" w:lineRule="auto"/>
        <w:rPr>
          <w:rFonts w:ascii="Arial" w:hAnsi="Arial" w:cs="Arial"/>
          <w:color w:val="000000" w:themeColor="text1"/>
          <w:kern w:val="2"/>
          <w:sz w:val="22"/>
          <w14:ligatures w14:val="standardContextual"/>
        </w:rPr>
      </w:pPr>
      <w:r w:rsidRPr="00D55922">
        <w:rPr>
          <w:rFonts w:ascii="Arial" w:hAnsi="Arial" w:cs="Arial"/>
          <w:color w:val="000000" w:themeColor="text1"/>
          <w:kern w:val="2"/>
          <w:sz w:val="22"/>
          <w14:ligatures w14:val="standardContextual"/>
        </w:rPr>
        <w:t>Lower household income was</w:t>
      </w:r>
      <w:r w:rsidR="00F82310" w:rsidRPr="00D55922">
        <w:rPr>
          <w:rFonts w:ascii="Arial" w:hAnsi="Arial" w:cs="Arial"/>
          <w:color w:val="000000" w:themeColor="text1"/>
          <w:kern w:val="2"/>
          <w:sz w:val="22"/>
          <w14:ligatures w14:val="standardContextual"/>
        </w:rPr>
        <w:t xml:space="preserve"> </w:t>
      </w:r>
      <w:r w:rsidR="35ED0DC6" w:rsidRPr="00D55922">
        <w:rPr>
          <w:rFonts w:ascii="Arial" w:hAnsi="Arial" w:cs="Arial"/>
          <w:color w:val="000000" w:themeColor="text1"/>
          <w:sz w:val="22"/>
        </w:rPr>
        <w:t xml:space="preserve">associated with </w:t>
      </w:r>
      <w:r w:rsidR="001423CD" w:rsidRPr="00D55922">
        <w:rPr>
          <w:rFonts w:ascii="Arial" w:hAnsi="Arial" w:cs="Arial"/>
          <w:color w:val="000000" w:themeColor="text1"/>
          <w:kern w:val="2"/>
          <w:sz w:val="22"/>
          <w14:ligatures w14:val="standardContextual"/>
        </w:rPr>
        <w:t>the highest rates of gambli</w:t>
      </w:r>
      <w:r w:rsidR="007E12EE" w:rsidRPr="00D55922">
        <w:rPr>
          <w:rFonts w:ascii="Arial" w:hAnsi="Arial" w:cs="Arial"/>
          <w:color w:val="000000" w:themeColor="text1"/>
          <w:kern w:val="2"/>
          <w:sz w:val="22"/>
          <w14:ligatures w14:val="standardContextual"/>
        </w:rPr>
        <w:t>ng proble</w:t>
      </w:r>
      <w:r w:rsidR="00982CA5" w:rsidRPr="00D55922">
        <w:rPr>
          <w:rFonts w:ascii="Arial" w:hAnsi="Arial" w:cs="Arial"/>
          <w:color w:val="000000" w:themeColor="text1"/>
          <w:kern w:val="2"/>
          <w:sz w:val="22"/>
          <w14:ligatures w14:val="standardContextual"/>
        </w:rPr>
        <w:t>ms</w:t>
      </w:r>
      <w:r w:rsidRPr="00D55922">
        <w:rPr>
          <w:rFonts w:ascii="Arial" w:hAnsi="Arial" w:cs="Arial"/>
          <w:color w:val="000000" w:themeColor="text1"/>
          <w:kern w:val="2"/>
          <w:sz w:val="22"/>
          <w14:ligatures w14:val="standardContextual"/>
        </w:rPr>
        <w:t xml:space="preserve">. </w:t>
      </w:r>
      <w:r w:rsidR="35ED0DC6" w:rsidRPr="00D55922">
        <w:rPr>
          <w:rFonts w:ascii="Arial" w:hAnsi="Arial" w:cs="Arial"/>
          <w:color w:val="000000" w:themeColor="text1"/>
          <w:sz w:val="22"/>
        </w:rPr>
        <w:t xml:space="preserve">Nearly 30% of those who gambled from households earning less than </w:t>
      </w:r>
      <w:r w:rsidR="35ED0DC6" w:rsidRPr="00D55922">
        <w:rPr>
          <w:rFonts w:ascii="Arial" w:hAnsi="Arial" w:cs="Arial"/>
          <w:color w:val="000000" w:themeColor="text1"/>
          <w:sz w:val="22"/>
        </w:rPr>
        <w:lastRenderedPageBreak/>
        <w:t>$10,000 annually were classified at high risk for problems as were 22.8% of those from households earning $10,000 to under $20,000.</w:t>
      </w:r>
    </w:p>
    <w:p w14:paraId="5C139B5A" w14:textId="77777777" w:rsidR="00E97614" w:rsidRPr="00D55922" w:rsidRDefault="00135FB9" w:rsidP="00E97614">
      <w:pPr>
        <w:pStyle w:val="ListParagraph"/>
        <w:numPr>
          <w:ilvl w:val="0"/>
          <w:numId w:val="12"/>
        </w:numPr>
        <w:spacing w:after="0" w:line="240" w:lineRule="auto"/>
        <w:rPr>
          <w:rFonts w:ascii="Arial" w:hAnsi="Arial" w:cs="Arial"/>
          <w:color w:val="000000" w:themeColor="text1"/>
          <w:kern w:val="2"/>
          <w:sz w:val="22"/>
          <w14:ligatures w14:val="standardContextual"/>
        </w:rPr>
      </w:pPr>
      <w:r w:rsidRPr="00D55922">
        <w:rPr>
          <w:rFonts w:ascii="Arial" w:hAnsi="Arial" w:cs="Arial"/>
          <w:sz w:val="22"/>
        </w:rPr>
        <w:t xml:space="preserve">Researchers found that gambling by family and household members was strongly associated with gambling and problem gambling among young people. </w:t>
      </w:r>
      <w:r w:rsidR="35ED0DC6" w:rsidRPr="00D55922">
        <w:rPr>
          <w:rFonts w:ascii="Arial" w:hAnsi="Arial" w:cs="Arial"/>
          <w:color w:val="000000" w:themeColor="text1"/>
          <w:sz w:val="22"/>
        </w:rPr>
        <w:t xml:space="preserve">Overall, 41.1% of those surveyed reported that a family or household member gambled, including 51.5% of adolescents </w:t>
      </w:r>
      <w:bookmarkStart w:id="1" w:name="_Int_nHnlYSKp"/>
      <w:r w:rsidR="35ED0DC6" w:rsidRPr="00D55922">
        <w:rPr>
          <w:rFonts w:ascii="Arial" w:hAnsi="Arial" w:cs="Arial"/>
          <w:color w:val="000000" w:themeColor="text1"/>
          <w:sz w:val="22"/>
        </w:rPr>
        <w:t>ages</w:t>
      </w:r>
      <w:bookmarkEnd w:id="1"/>
      <w:r w:rsidR="35ED0DC6" w:rsidRPr="00D55922">
        <w:rPr>
          <w:rFonts w:ascii="Arial" w:hAnsi="Arial" w:cs="Arial"/>
          <w:color w:val="000000" w:themeColor="text1"/>
          <w:sz w:val="22"/>
        </w:rPr>
        <w:t xml:space="preserve"> 13 to 17. Those who believed a household member had a gambling problem were more than five times as </w:t>
      </w:r>
      <w:bookmarkStart w:id="2" w:name="_Int_8ohqoVuv"/>
      <w:r w:rsidR="35ED0DC6" w:rsidRPr="00D55922">
        <w:rPr>
          <w:rFonts w:ascii="Arial" w:hAnsi="Arial" w:cs="Arial"/>
          <w:color w:val="000000" w:themeColor="text1"/>
          <w:sz w:val="22"/>
        </w:rPr>
        <w:t>likely</w:t>
      </w:r>
      <w:bookmarkEnd w:id="2"/>
      <w:r w:rsidR="35ED0DC6" w:rsidRPr="00D55922">
        <w:rPr>
          <w:rFonts w:ascii="Arial" w:hAnsi="Arial" w:cs="Arial"/>
          <w:color w:val="000000" w:themeColor="text1"/>
          <w:sz w:val="22"/>
        </w:rPr>
        <w:t xml:space="preserve"> </w:t>
      </w:r>
      <w:r w:rsidR="00B90676" w:rsidRPr="00D55922">
        <w:rPr>
          <w:rFonts w:ascii="Arial" w:hAnsi="Arial" w:cs="Arial"/>
          <w:color w:val="000000" w:themeColor="text1"/>
          <w:sz w:val="22"/>
        </w:rPr>
        <w:t xml:space="preserve">to be high-risk gamblers, </w:t>
      </w:r>
      <w:r w:rsidR="006C4856" w:rsidRPr="00D55922">
        <w:rPr>
          <w:rFonts w:ascii="Arial" w:hAnsi="Arial" w:cs="Arial"/>
          <w:color w:val="000000" w:themeColor="text1"/>
          <w:sz w:val="22"/>
        </w:rPr>
        <w:t xml:space="preserve">while those who gambled </w:t>
      </w:r>
      <w:r w:rsidR="35ED0DC6" w:rsidRPr="00D55922">
        <w:rPr>
          <w:rFonts w:ascii="Arial" w:hAnsi="Arial" w:cs="Arial"/>
          <w:color w:val="000000" w:themeColor="text1"/>
          <w:sz w:val="22"/>
        </w:rPr>
        <w:t>with a family member</w:t>
      </w:r>
      <w:r w:rsidR="006C4856" w:rsidRPr="00D55922">
        <w:rPr>
          <w:rFonts w:ascii="Arial" w:hAnsi="Arial" w:cs="Arial"/>
          <w:color w:val="000000" w:themeColor="text1"/>
          <w:sz w:val="22"/>
        </w:rPr>
        <w:t xml:space="preserve"> </w:t>
      </w:r>
      <w:r w:rsidR="00D04188" w:rsidRPr="00D55922">
        <w:rPr>
          <w:rFonts w:ascii="Arial" w:hAnsi="Arial" w:cs="Arial"/>
          <w:color w:val="000000" w:themeColor="text1"/>
          <w:sz w:val="22"/>
        </w:rPr>
        <w:t>were more</w:t>
      </w:r>
      <w:r w:rsidR="35ED0DC6" w:rsidRPr="00D55922">
        <w:rPr>
          <w:rFonts w:ascii="Arial" w:hAnsi="Arial" w:cs="Arial"/>
          <w:color w:val="000000" w:themeColor="text1"/>
          <w:sz w:val="22"/>
        </w:rPr>
        <w:t xml:space="preserve"> than four times as likely</w:t>
      </w:r>
      <w:r w:rsidR="006C4856" w:rsidRPr="00D55922">
        <w:rPr>
          <w:rFonts w:ascii="Arial" w:hAnsi="Arial" w:cs="Arial"/>
          <w:color w:val="000000" w:themeColor="text1"/>
          <w:sz w:val="22"/>
        </w:rPr>
        <w:t>.</w:t>
      </w:r>
    </w:p>
    <w:p w14:paraId="31F63F80" w14:textId="365115AA" w:rsidR="003A6F3D" w:rsidRPr="00D55922" w:rsidRDefault="00E97614" w:rsidP="00E97614">
      <w:pPr>
        <w:pStyle w:val="ListParagraph"/>
        <w:numPr>
          <w:ilvl w:val="0"/>
          <w:numId w:val="12"/>
        </w:numPr>
        <w:spacing w:after="0" w:line="240" w:lineRule="auto"/>
        <w:rPr>
          <w:rFonts w:ascii="Arial" w:hAnsi="Arial" w:cs="Arial"/>
          <w:color w:val="000000" w:themeColor="text1"/>
          <w:kern w:val="2"/>
          <w:sz w:val="22"/>
          <w14:ligatures w14:val="standardContextual"/>
        </w:rPr>
      </w:pPr>
      <w:r w:rsidRPr="0071537B">
        <w:rPr>
          <w:rFonts w:ascii="Arial" w:hAnsi="Arial" w:cs="Arial"/>
          <w:sz w:val="22"/>
        </w:rPr>
        <w:t xml:space="preserve">Among adolescents ages 13 to 17 classified as high risk for problem gambling, 75.5% </w:t>
      </w:r>
      <w:r w:rsidR="00491838">
        <w:rPr>
          <w:rFonts w:ascii="Arial" w:hAnsi="Arial" w:cs="Arial"/>
          <w:sz w:val="22"/>
        </w:rPr>
        <w:t xml:space="preserve">had a </w:t>
      </w:r>
      <w:r w:rsidR="003F3943">
        <w:rPr>
          <w:rFonts w:ascii="Arial" w:hAnsi="Arial" w:cs="Arial"/>
          <w:sz w:val="22"/>
        </w:rPr>
        <w:t>fami</w:t>
      </w:r>
      <w:r w:rsidR="002F189E">
        <w:rPr>
          <w:rFonts w:ascii="Arial" w:hAnsi="Arial" w:cs="Arial"/>
          <w:sz w:val="22"/>
        </w:rPr>
        <w:t>ly</w:t>
      </w:r>
      <w:r w:rsidR="00FA040F">
        <w:rPr>
          <w:rFonts w:ascii="Arial" w:hAnsi="Arial" w:cs="Arial"/>
          <w:sz w:val="22"/>
        </w:rPr>
        <w:t xml:space="preserve"> member</w:t>
      </w:r>
      <w:r w:rsidR="009B55F5">
        <w:rPr>
          <w:rFonts w:ascii="Arial" w:hAnsi="Arial" w:cs="Arial"/>
          <w:sz w:val="22"/>
        </w:rPr>
        <w:t xml:space="preserve"> who gambled</w:t>
      </w:r>
      <w:r w:rsidRPr="0071537B">
        <w:rPr>
          <w:rFonts w:ascii="Arial" w:hAnsi="Arial" w:cs="Arial"/>
          <w:sz w:val="22"/>
        </w:rPr>
        <w:t xml:space="preserve">, 66.3% </w:t>
      </w:r>
      <w:r w:rsidR="00401ED0">
        <w:rPr>
          <w:rFonts w:ascii="Arial" w:hAnsi="Arial" w:cs="Arial"/>
          <w:sz w:val="22"/>
        </w:rPr>
        <w:t>belie</w:t>
      </w:r>
      <w:r w:rsidR="00FD372F">
        <w:rPr>
          <w:rFonts w:ascii="Arial" w:hAnsi="Arial" w:cs="Arial"/>
          <w:sz w:val="22"/>
        </w:rPr>
        <w:t>ved a family member had a gambling p</w:t>
      </w:r>
      <w:r w:rsidR="002C0136">
        <w:rPr>
          <w:rFonts w:ascii="Arial" w:hAnsi="Arial" w:cs="Arial"/>
          <w:sz w:val="22"/>
        </w:rPr>
        <w:t>roblem</w:t>
      </w:r>
      <w:r w:rsidR="00730155">
        <w:rPr>
          <w:rFonts w:ascii="Arial" w:hAnsi="Arial" w:cs="Arial"/>
          <w:sz w:val="22"/>
        </w:rPr>
        <w:t>,</w:t>
      </w:r>
      <w:r w:rsidRPr="00D55922">
        <w:rPr>
          <w:rFonts w:ascii="Arial" w:hAnsi="Arial" w:cs="Arial"/>
          <w:sz w:val="22"/>
        </w:rPr>
        <w:t xml:space="preserve"> and 61.2% had gambled with a family member.</w:t>
      </w:r>
    </w:p>
    <w:p w14:paraId="008BE9D0" w14:textId="77777777" w:rsidR="00E97614" w:rsidRPr="00D55922" w:rsidRDefault="00E97614" w:rsidP="00223F6A">
      <w:pPr>
        <w:spacing w:after="0" w:line="240" w:lineRule="auto"/>
        <w:contextualSpacing/>
        <w:jc w:val="both"/>
        <w:rPr>
          <w:rFonts w:ascii="Arial" w:hAnsi="Arial" w:cs="Arial"/>
          <w:sz w:val="22"/>
        </w:rPr>
      </w:pPr>
    </w:p>
    <w:p w14:paraId="76C4FE9C" w14:textId="23156912" w:rsidR="005271E9" w:rsidRPr="00D55922" w:rsidRDefault="35ED0DC6" w:rsidP="00223F6A">
      <w:pPr>
        <w:spacing w:after="0" w:line="240" w:lineRule="auto"/>
        <w:contextualSpacing/>
        <w:rPr>
          <w:rFonts w:ascii="Arial" w:hAnsi="Arial" w:cs="Arial"/>
          <w:sz w:val="22"/>
        </w:rPr>
      </w:pPr>
      <w:r w:rsidRPr="00D55922">
        <w:rPr>
          <w:rFonts w:ascii="Arial" w:hAnsi="Arial" w:cs="Arial"/>
          <w:sz w:val="22"/>
        </w:rPr>
        <w:t xml:space="preserve">The researchers also examined newer gambling-like activities that are more accessible than legalized gambling. For example, prediction markets allow participants to bet on sports using event contracts, which </w:t>
      </w:r>
      <w:r w:rsidR="00DE6FD7" w:rsidRPr="00D55922">
        <w:rPr>
          <w:rFonts w:ascii="Arial" w:hAnsi="Arial" w:cs="Arial"/>
          <w:sz w:val="22"/>
        </w:rPr>
        <w:t>may fall outside traditional gambling regulations</w:t>
      </w:r>
      <w:r w:rsidRPr="00D55922">
        <w:rPr>
          <w:rFonts w:ascii="Arial" w:hAnsi="Arial" w:cs="Arial"/>
          <w:sz w:val="22"/>
        </w:rPr>
        <w:t>. Social casino games simulate casino gambling without initially costing money to play</w:t>
      </w:r>
      <w:r w:rsidR="001D13A0" w:rsidRPr="00D55922">
        <w:rPr>
          <w:rFonts w:ascii="Arial" w:hAnsi="Arial" w:cs="Arial"/>
          <w:sz w:val="22"/>
        </w:rPr>
        <w:t>.</w:t>
      </w:r>
      <w:r w:rsidRPr="00D55922">
        <w:rPr>
          <w:rFonts w:ascii="Arial" w:hAnsi="Arial" w:cs="Arial"/>
          <w:sz w:val="22"/>
        </w:rPr>
        <w:t xml:space="preserve"> </w:t>
      </w:r>
    </w:p>
    <w:p w14:paraId="7F78D0F5" w14:textId="77777777" w:rsidR="00D04188" w:rsidRPr="00D55922" w:rsidRDefault="00D04188" w:rsidP="00223F6A">
      <w:pPr>
        <w:spacing w:after="0" w:line="240" w:lineRule="auto"/>
        <w:contextualSpacing/>
        <w:rPr>
          <w:rFonts w:ascii="Arial" w:hAnsi="Arial" w:cs="Arial"/>
          <w:sz w:val="22"/>
        </w:rPr>
      </w:pPr>
    </w:p>
    <w:p w14:paraId="3076AAAF" w14:textId="77777777" w:rsidR="00DB56F9" w:rsidRPr="00D55922" w:rsidRDefault="35ED0DC6" w:rsidP="00DB56F9">
      <w:pPr>
        <w:spacing w:after="0" w:line="240" w:lineRule="auto"/>
        <w:contextualSpacing/>
        <w:rPr>
          <w:rFonts w:ascii="Arial" w:hAnsi="Arial" w:cs="Arial"/>
          <w:color w:val="000000" w:themeColor="text1"/>
          <w:sz w:val="22"/>
        </w:rPr>
      </w:pPr>
      <w:r w:rsidRPr="00D55922">
        <w:rPr>
          <w:rFonts w:ascii="Arial" w:hAnsi="Arial" w:cs="Arial"/>
          <w:sz w:val="22"/>
        </w:rPr>
        <w:t>Researchers found about</w:t>
      </w:r>
      <w:r w:rsidRPr="00D55922">
        <w:rPr>
          <w:rFonts w:ascii="Arial" w:hAnsi="Arial" w:cs="Arial"/>
          <w:color w:val="000000" w:themeColor="text1"/>
          <w:sz w:val="22"/>
        </w:rPr>
        <w:t xml:space="preserve"> 40% of those who bet on prediction markets as well as 41% of social casino players were classified as high-risk problem gamblers – a rate nearly four times as high as gambling on other activities.</w:t>
      </w:r>
    </w:p>
    <w:p w14:paraId="43583A7B" w14:textId="77777777" w:rsidR="00DB56F9" w:rsidRPr="00D55922" w:rsidRDefault="00DB56F9" w:rsidP="00DB56F9">
      <w:pPr>
        <w:spacing w:after="0" w:line="240" w:lineRule="auto"/>
        <w:contextualSpacing/>
        <w:rPr>
          <w:rFonts w:ascii="Arial" w:hAnsi="Arial" w:cs="Arial"/>
          <w:color w:val="000000" w:themeColor="text1"/>
          <w:sz w:val="22"/>
        </w:rPr>
      </w:pPr>
    </w:p>
    <w:p w14:paraId="148DB701" w14:textId="24689F5F" w:rsidR="00DB56F9" w:rsidRPr="00D55922" w:rsidRDefault="35ED0DC6" w:rsidP="00223F6A">
      <w:pPr>
        <w:spacing w:after="0" w:line="240" w:lineRule="auto"/>
        <w:contextualSpacing/>
        <w:rPr>
          <w:rFonts w:ascii="Arial" w:hAnsi="Arial" w:cs="Arial"/>
          <w:color w:val="000000" w:themeColor="text1"/>
          <w:sz w:val="22"/>
        </w:rPr>
      </w:pPr>
      <w:r w:rsidRPr="00D55922">
        <w:rPr>
          <w:rFonts w:ascii="Arial" w:hAnsi="Arial" w:cs="Arial"/>
          <w:sz w:val="22"/>
        </w:rPr>
        <w:t xml:space="preserve">The study confirmed what the researchers have long suspected: </w:t>
      </w:r>
      <w:r w:rsidR="00985706" w:rsidRPr="00D55922">
        <w:rPr>
          <w:rFonts w:ascii="Arial" w:hAnsi="Arial" w:cs="Arial"/>
          <w:sz w:val="22"/>
        </w:rPr>
        <w:t>t</w:t>
      </w:r>
      <w:r w:rsidRPr="00D55922">
        <w:rPr>
          <w:rFonts w:ascii="Arial" w:hAnsi="Arial" w:cs="Arial"/>
          <w:sz w:val="22"/>
        </w:rPr>
        <w:t xml:space="preserve">here is an additive effect to problem gambling. The earlier and more often one </w:t>
      </w:r>
      <w:bookmarkStart w:id="3" w:name="_Int_AHsUjL3G"/>
      <w:r w:rsidRPr="00D55922">
        <w:rPr>
          <w:rFonts w:ascii="Arial" w:hAnsi="Arial" w:cs="Arial"/>
          <w:sz w:val="22"/>
        </w:rPr>
        <w:t>bets</w:t>
      </w:r>
      <w:bookmarkEnd w:id="3"/>
      <w:r w:rsidRPr="00D55922">
        <w:rPr>
          <w:rFonts w:ascii="Arial" w:hAnsi="Arial" w:cs="Arial"/>
          <w:sz w:val="22"/>
        </w:rPr>
        <w:t xml:space="preserve"> and the more activities and settings they </w:t>
      </w:r>
      <w:r w:rsidR="00DB56F9" w:rsidRPr="00D55922">
        <w:rPr>
          <w:rFonts w:ascii="Arial" w:hAnsi="Arial" w:cs="Arial"/>
          <w:sz w:val="22"/>
        </w:rPr>
        <w:t>use, whether online or in person</w:t>
      </w:r>
      <w:r w:rsidRPr="00D55922">
        <w:rPr>
          <w:rFonts w:ascii="Arial" w:hAnsi="Arial" w:cs="Arial"/>
          <w:sz w:val="22"/>
        </w:rPr>
        <w:t xml:space="preserve">, the higher the risk for problems. Nearly 46% of those who gambled used both online and in-person venues. Of high-risk problem gamblers, 65.4% used both settings and 52.5% gambled weekly or more. High-risk problem gamblers participated in an average of 6.7 activities, </w:t>
      </w:r>
      <w:r w:rsidR="007C55EB" w:rsidRPr="00D55922">
        <w:rPr>
          <w:rFonts w:ascii="Arial" w:hAnsi="Arial" w:cs="Arial"/>
          <w:sz w:val="22"/>
        </w:rPr>
        <w:t>compared with</w:t>
      </w:r>
      <w:r w:rsidRPr="00D55922">
        <w:rPr>
          <w:rFonts w:ascii="Arial" w:hAnsi="Arial" w:cs="Arial"/>
          <w:sz w:val="22"/>
        </w:rPr>
        <w:t xml:space="preserve"> 2.7 among gamblers without problems.</w:t>
      </w:r>
    </w:p>
    <w:p w14:paraId="244AE3D2" w14:textId="77777777" w:rsidR="00DB56F9" w:rsidRPr="00D55922" w:rsidRDefault="00DB56F9" w:rsidP="00223F6A">
      <w:pPr>
        <w:spacing w:after="0" w:line="240" w:lineRule="auto"/>
        <w:contextualSpacing/>
        <w:rPr>
          <w:rFonts w:ascii="Arial" w:hAnsi="Arial" w:cs="Arial"/>
          <w:color w:val="000000" w:themeColor="text1"/>
          <w:sz w:val="22"/>
        </w:rPr>
      </w:pPr>
    </w:p>
    <w:p w14:paraId="4260315C" w14:textId="5024FA36" w:rsidR="00B554E2" w:rsidRPr="00D55922" w:rsidRDefault="00974CEC" w:rsidP="00223F6A">
      <w:pPr>
        <w:spacing w:after="0" w:line="240" w:lineRule="auto"/>
        <w:contextualSpacing/>
        <w:rPr>
          <w:rFonts w:ascii="Arial" w:hAnsi="Arial" w:cs="Arial"/>
          <w:color w:val="000000" w:themeColor="text1"/>
          <w:sz w:val="22"/>
        </w:rPr>
      </w:pPr>
      <w:r w:rsidRPr="00D55922">
        <w:rPr>
          <w:rFonts w:ascii="Arial" w:hAnsi="Arial" w:cs="Arial"/>
          <w:sz w:val="22"/>
        </w:rPr>
        <w:t xml:space="preserve">Problem gambling </w:t>
      </w:r>
      <w:r w:rsidR="0023442C" w:rsidRPr="00D55922">
        <w:rPr>
          <w:rFonts w:ascii="Arial" w:hAnsi="Arial" w:cs="Arial"/>
          <w:sz w:val="22"/>
        </w:rPr>
        <w:t>was also associated with higher rates of</w:t>
      </w:r>
      <w:r w:rsidR="35ED0DC6" w:rsidRPr="00D55922">
        <w:rPr>
          <w:rFonts w:ascii="Arial" w:hAnsi="Arial" w:cs="Arial"/>
          <w:sz w:val="22"/>
        </w:rPr>
        <w:t xml:space="preserve"> substance</w:t>
      </w:r>
      <w:r w:rsidR="0023442C" w:rsidRPr="00D55922">
        <w:rPr>
          <w:rFonts w:ascii="Arial" w:hAnsi="Arial" w:cs="Arial"/>
          <w:sz w:val="22"/>
        </w:rPr>
        <w:t xml:space="preserve"> use</w:t>
      </w:r>
      <w:r w:rsidR="35ED0DC6" w:rsidRPr="00D55922">
        <w:rPr>
          <w:rFonts w:ascii="Arial" w:hAnsi="Arial" w:cs="Arial"/>
          <w:sz w:val="22"/>
        </w:rPr>
        <w:t xml:space="preserve"> and mental health </w:t>
      </w:r>
      <w:r w:rsidR="0023442C" w:rsidRPr="00D55922">
        <w:rPr>
          <w:rFonts w:ascii="Arial" w:hAnsi="Arial" w:cs="Arial"/>
          <w:sz w:val="22"/>
        </w:rPr>
        <w:t>concerns</w:t>
      </w:r>
      <w:r w:rsidR="35ED0DC6" w:rsidRPr="00D55922">
        <w:rPr>
          <w:rFonts w:ascii="Arial" w:hAnsi="Arial" w:cs="Arial"/>
          <w:sz w:val="22"/>
        </w:rPr>
        <w:t xml:space="preserve">. </w:t>
      </w:r>
      <w:r w:rsidR="00B554E2" w:rsidRPr="00D55922">
        <w:rPr>
          <w:rFonts w:ascii="Arial" w:hAnsi="Arial" w:cs="Arial"/>
          <w:kern w:val="2"/>
          <w:sz w:val="22"/>
          <w14:ligatures w14:val="standardContextual"/>
        </w:rPr>
        <w:t>Compared with non</w:t>
      </w:r>
      <w:r w:rsidR="35ED0DC6" w:rsidRPr="00D55922">
        <w:rPr>
          <w:rFonts w:ascii="Arial" w:hAnsi="Arial" w:cs="Arial"/>
          <w:sz w:val="22"/>
        </w:rPr>
        <w:t>gamblers, gamblers reported higher rates of alcohol use (44.6% vs. 25.9%), binge drinking (25.6% v</w:t>
      </w:r>
      <w:r w:rsidR="00E965EE" w:rsidRPr="00D55922">
        <w:rPr>
          <w:rFonts w:ascii="Arial" w:hAnsi="Arial" w:cs="Arial"/>
          <w:sz w:val="22"/>
        </w:rPr>
        <w:t>s.</w:t>
      </w:r>
      <w:r w:rsidR="35ED0DC6" w:rsidRPr="00D55922">
        <w:rPr>
          <w:rFonts w:ascii="Arial" w:hAnsi="Arial" w:cs="Arial"/>
          <w:sz w:val="22"/>
        </w:rPr>
        <w:t xml:space="preserve"> 10.5%), drug use (26.7% v</w:t>
      </w:r>
      <w:r w:rsidR="00E965EE" w:rsidRPr="00D55922">
        <w:rPr>
          <w:rFonts w:ascii="Arial" w:hAnsi="Arial" w:cs="Arial"/>
          <w:sz w:val="22"/>
        </w:rPr>
        <w:t xml:space="preserve">s. </w:t>
      </w:r>
      <w:r w:rsidR="35ED0DC6" w:rsidRPr="00D55922">
        <w:rPr>
          <w:rFonts w:ascii="Arial" w:hAnsi="Arial" w:cs="Arial"/>
          <w:sz w:val="22"/>
        </w:rPr>
        <w:t>17.6%), excessive social media use (51.0% v</w:t>
      </w:r>
      <w:r w:rsidR="00E965EE" w:rsidRPr="00D55922">
        <w:rPr>
          <w:rFonts w:ascii="Arial" w:hAnsi="Arial" w:cs="Arial"/>
          <w:sz w:val="22"/>
        </w:rPr>
        <w:t>s.</w:t>
      </w:r>
      <w:r w:rsidR="35ED0DC6" w:rsidRPr="00D55922">
        <w:rPr>
          <w:rFonts w:ascii="Arial" w:hAnsi="Arial" w:cs="Arial"/>
          <w:sz w:val="22"/>
        </w:rPr>
        <w:t xml:space="preserve"> 38.7%) and excessive shopping (12.6% vs. 7.8%). </w:t>
      </w:r>
      <w:r w:rsidR="00D55922" w:rsidRPr="00722087">
        <w:rPr>
          <w:rFonts w:ascii="Arial" w:hAnsi="Arial" w:cs="Arial"/>
          <w:sz w:val="22"/>
        </w:rPr>
        <w:t xml:space="preserve">Among high-risk problem gamblers, </w:t>
      </w:r>
      <w:r w:rsidR="00D55922" w:rsidRPr="00D55922">
        <w:rPr>
          <w:rFonts w:ascii="Arial" w:hAnsi="Arial" w:cs="Arial"/>
          <w:sz w:val="22"/>
        </w:rPr>
        <w:t>more than half (52.8%) reported anxiety, 38.4% reported depression and 13.1% reported suicidal ideation.</w:t>
      </w:r>
    </w:p>
    <w:p w14:paraId="775B33C7" w14:textId="7F526D1C" w:rsidR="0014384E" w:rsidRPr="00D55922" w:rsidRDefault="0014384E" w:rsidP="00223F6A">
      <w:pPr>
        <w:spacing w:after="0" w:line="240" w:lineRule="auto"/>
        <w:contextualSpacing/>
        <w:rPr>
          <w:rFonts w:ascii="Arial" w:hAnsi="Arial" w:cs="Arial"/>
          <w:sz w:val="22"/>
        </w:rPr>
      </w:pPr>
    </w:p>
    <w:p w14:paraId="4F22CDC4" w14:textId="281E9019" w:rsidR="00267CDF" w:rsidRPr="00D55922" w:rsidRDefault="1BF40421" w:rsidP="00223F6A">
      <w:pPr>
        <w:spacing w:after="0" w:line="240" w:lineRule="auto"/>
        <w:contextualSpacing/>
        <w:rPr>
          <w:rFonts w:ascii="Arial" w:hAnsi="Arial" w:cs="Arial"/>
          <w:sz w:val="22"/>
        </w:rPr>
      </w:pPr>
      <w:r w:rsidRPr="00D55922">
        <w:rPr>
          <w:rFonts w:ascii="Arial" w:hAnsi="Arial" w:cs="Arial"/>
          <w:sz w:val="22"/>
        </w:rPr>
        <w:t>Nower and members of the Center for Gambling Studies recommend:</w:t>
      </w:r>
    </w:p>
    <w:p w14:paraId="1A09DE1A" w14:textId="77777777" w:rsidR="00D04188" w:rsidRPr="00D55922" w:rsidRDefault="00D04188" w:rsidP="00223F6A">
      <w:pPr>
        <w:spacing w:after="0" w:line="240" w:lineRule="auto"/>
        <w:contextualSpacing/>
        <w:rPr>
          <w:rFonts w:ascii="Arial" w:hAnsi="Arial" w:cs="Arial"/>
          <w:sz w:val="22"/>
        </w:rPr>
      </w:pPr>
    </w:p>
    <w:p w14:paraId="71CCAF4C" w14:textId="03267B84" w:rsidR="00AC60E0" w:rsidRPr="00D55922" w:rsidRDefault="00AC60E0" w:rsidP="00223F6A">
      <w:pPr>
        <w:numPr>
          <w:ilvl w:val="0"/>
          <w:numId w:val="10"/>
        </w:numPr>
        <w:spacing w:after="0" w:line="240" w:lineRule="auto"/>
        <w:contextualSpacing/>
        <w:rPr>
          <w:rFonts w:ascii="Arial" w:eastAsia="Times New Roman" w:hAnsi="Arial" w:cs="Arial"/>
          <w:sz w:val="22"/>
        </w:rPr>
      </w:pPr>
      <w:r w:rsidRPr="00D55922">
        <w:rPr>
          <w:rFonts w:ascii="Arial" w:eastAsia="Times New Roman" w:hAnsi="Arial" w:cs="Arial"/>
          <w:sz w:val="22"/>
        </w:rPr>
        <w:t>Start prevention education in middle school, providing students, parents, teachers</w:t>
      </w:r>
      <w:r w:rsidR="00532042" w:rsidRPr="00D55922">
        <w:rPr>
          <w:rFonts w:ascii="Arial" w:eastAsia="Times New Roman" w:hAnsi="Arial" w:cs="Arial"/>
          <w:sz w:val="22"/>
        </w:rPr>
        <w:t>,</w:t>
      </w:r>
      <w:r w:rsidRPr="00D55922">
        <w:rPr>
          <w:rFonts w:ascii="Arial" w:eastAsia="Times New Roman" w:hAnsi="Arial" w:cs="Arial"/>
          <w:sz w:val="22"/>
        </w:rPr>
        <w:t xml:space="preserve"> and counselors with evidence-based information about gambling risks.</w:t>
      </w:r>
    </w:p>
    <w:p w14:paraId="546DF84F" w14:textId="01539E94" w:rsidR="00AC60E0" w:rsidRPr="00D55922" w:rsidRDefault="00AC60E0" w:rsidP="00223F6A">
      <w:pPr>
        <w:numPr>
          <w:ilvl w:val="0"/>
          <w:numId w:val="10"/>
        </w:numPr>
        <w:spacing w:after="0" w:line="240" w:lineRule="auto"/>
        <w:contextualSpacing/>
        <w:rPr>
          <w:rFonts w:ascii="Arial" w:eastAsia="Times New Roman" w:hAnsi="Arial" w:cs="Arial"/>
          <w:sz w:val="22"/>
        </w:rPr>
      </w:pPr>
      <w:r w:rsidRPr="00D55922">
        <w:rPr>
          <w:rFonts w:ascii="Arial" w:eastAsia="Times New Roman" w:hAnsi="Arial" w:cs="Arial"/>
          <w:sz w:val="22"/>
        </w:rPr>
        <w:t>Strengthen oversight of emerging gambling-like products, including prediction markets, social casino games</w:t>
      </w:r>
      <w:r w:rsidR="00D8018A" w:rsidRPr="00D55922">
        <w:rPr>
          <w:rFonts w:ascii="Arial" w:eastAsia="Times New Roman" w:hAnsi="Arial" w:cs="Arial"/>
          <w:sz w:val="22"/>
        </w:rPr>
        <w:t>,</w:t>
      </w:r>
      <w:r w:rsidRPr="00D55922">
        <w:rPr>
          <w:rFonts w:ascii="Arial" w:eastAsia="Times New Roman" w:hAnsi="Arial" w:cs="Arial"/>
          <w:sz w:val="22"/>
        </w:rPr>
        <w:t xml:space="preserve"> and other activities that may fall outside conventional gambling safeguards.</w:t>
      </w:r>
    </w:p>
    <w:p w14:paraId="19DBD8BA" w14:textId="41AFD5DB" w:rsidR="00AC60E0" w:rsidRPr="00D55922" w:rsidRDefault="00AC60E0" w:rsidP="00223F6A">
      <w:pPr>
        <w:numPr>
          <w:ilvl w:val="0"/>
          <w:numId w:val="10"/>
        </w:numPr>
        <w:spacing w:after="0" w:line="240" w:lineRule="auto"/>
        <w:contextualSpacing/>
        <w:rPr>
          <w:rFonts w:ascii="Arial" w:eastAsia="Times New Roman" w:hAnsi="Arial" w:cs="Arial"/>
          <w:sz w:val="22"/>
        </w:rPr>
      </w:pPr>
      <w:r w:rsidRPr="00D55922">
        <w:rPr>
          <w:rFonts w:ascii="Arial" w:eastAsia="Times New Roman" w:hAnsi="Arial" w:cs="Arial"/>
          <w:sz w:val="22"/>
        </w:rPr>
        <w:t xml:space="preserve">Establish a federal gambling regulatory agency to set national minimum standards, including national self-exclusion and other safeguards that follow players across online and land-based gambling activities. </w:t>
      </w:r>
    </w:p>
    <w:p w14:paraId="22160BDF" w14:textId="4B7B47C8" w:rsidR="00AC60E0" w:rsidRPr="00D55922" w:rsidRDefault="00AC60E0" w:rsidP="00223F6A">
      <w:pPr>
        <w:numPr>
          <w:ilvl w:val="0"/>
          <w:numId w:val="10"/>
        </w:numPr>
        <w:spacing w:after="0" w:line="240" w:lineRule="auto"/>
        <w:contextualSpacing/>
        <w:rPr>
          <w:rFonts w:ascii="Arial" w:eastAsia="Times New Roman" w:hAnsi="Arial" w:cs="Arial"/>
          <w:sz w:val="22"/>
        </w:rPr>
      </w:pPr>
      <w:r w:rsidRPr="00D55922">
        <w:rPr>
          <w:rFonts w:ascii="Arial" w:eastAsia="Times New Roman" w:hAnsi="Arial" w:cs="Arial"/>
          <w:sz w:val="22"/>
        </w:rPr>
        <w:t>Fund prevention and treatment where risk is highest by creating an office for problem gambling within the National Institutes of Health, with community partnerships in low-income communities.</w:t>
      </w:r>
    </w:p>
    <w:p w14:paraId="73B3C4DD" w14:textId="77777777" w:rsidR="00223F6A" w:rsidRPr="00D55922" w:rsidRDefault="00223F6A" w:rsidP="00223F6A">
      <w:pPr>
        <w:spacing w:after="0" w:line="240" w:lineRule="auto"/>
        <w:contextualSpacing/>
        <w:rPr>
          <w:rFonts w:ascii="Arial" w:hAnsi="Arial" w:cs="Arial"/>
          <w:sz w:val="22"/>
        </w:rPr>
      </w:pPr>
    </w:p>
    <w:p w14:paraId="31AD848D" w14:textId="1586E960" w:rsidR="006B5BCC" w:rsidRPr="00D55922" w:rsidRDefault="002718E7" w:rsidP="00223F6A">
      <w:pPr>
        <w:spacing w:after="0" w:line="240" w:lineRule="auto"/>
        <w:contextualSpacing/>
        <w:rPr>
          <w:rFonts w:ascii="Arial" w:hAnsi="Arial" w:cs="Arial"/>
          <w:sz w:val="22"/>
        </w:rPr>
      </w:pPr>
      <w:r w:rsidRPr="00D55922">
        <w:rPr>
          <w:rFonts w:ascii="Arial" w:hAnsi="Arial" w:cs="Arial"/>
          <w:sz w:val="22"/>
        </w:rPr>
        <w:t xml:space="preserve">“We cannot wait until young people reach adulthood to begin addressing gambling-related harm,” Nower said. “By that point, </w:t>
      </w:r>
      <w:r w:rsidR="003F1645" w:rsidRPr="00D55922">
        <w:rPr>
          <w:rFonts w:ascii="Arial" w:hAnsi="Arial" w:cs="Arial"/>
          <w:sz w:val="22"/>
        </w:rPr>
        <w:t>we will have very high rates of problem gambling</w:t>
      </w:r>
      <w:r w:rsidRPr="00D55922">
        <w:rPr>
          <w:rFonts w:ascii="Arial" w:hAnsi="Arial" w:cs="Arial"/>
          <w:sz w:val="22"/>
        </w:rPr>
        <w:t>. Prevention must start earlier, screening must be broader, and public policy must recognize that the gambling environment has changed dramatically.”</w:t>
      </w:r>
    </w:p>
    <w:p w14:paraId="4324D8A4" w14:textId="77777777" w:rsidR="00D04188" w:rsidRPr="00D55922" w:rsidRDefault="00D04188" w:rsidP="00223F6A">
      <w:pPr>
        <w:spacing w:after="0" w:line="240" w:lineRule="auto"/>
        <w:contextualSpacing/>
        <w:rPr>
          <w:rFonts w:ascii="Arial" w:hAnsi="Arial" w:cs="Arial"/>
          <w:sz w:val="22"/>
        </w:rPr>
      </w:pPr>
    </w:p>
    <w:p w14:paraId="68C2EF49" w14:textId="079A3D0D" w:rsidR="006B5BCC" w:rsidRPr="00D55922" w:rsidRDefault="002718E7" w:rsidP="00223F6A">
      <w:pPr>
        <w:spacing w:after="0" w:line="240" w:lineRule="auto"/>
        <w:contextualSpacing/>
        <w:rPr>
          <w:rFonts w:ascii="Arial" w:hAnsi="Arial" w:cs="Arial"/>
          <w:sz w:val="22"/>
        </w:rPr>
      </w:pPr>
      <w:r w:rsidRPr="00D55922">
        <w:rPr>
          <w:rFonts w:ascii="Arial" w:hAnsi="Arial" w:cs="Arial"/>
          <w:sz w:val="22"/>
        </w:rPr>
        <w:t>Help is available: the National Problem Gambling Helpline is 1-800-MY-RESET. In crisis, call or text 988.</w:t>
      </w:r>
    </w:p>
    <w:p w14:paraId="17690125" w14:textId="77777777" w:rsidR="00D04188" w:rsidRPr="00D55922" w:rsidRDefault="00D04188" w:rsidP="00223F6A">
      <w:pPr>
        <w:spacing w:after="0" w:line="240" w:lineRule="auto"/>
        <w:contextualSpacing/>
        <w:rPr>
          <w:rFonts w:ascii="Arial" w:hAnsi="Arial" w:cs="Arial"/>
          <w:sz w:val="22"/>
        </w:rPr>
      </w:pPr>
    </w:p>
    <w:p w14:paraId="1962AA19" w14:textId="77777777" w:rsidR="006B5BCC" w:rsidRPr="00D55922" w:rsidRDefault="002718E7" w:rsidP="00223F6A">
      <w:pPr>
        <w:pStyle w:val="Heading2"/>
        <w:spacing w:before="0" w:line="240" w:lineRule="auto"/>
        <w:contextualSpacing/>
        <w:rPr>
          <w:rFonts w:ascii="Arial" w:hAnsi="Arial" w:cs="Arial"/>
          <w:b w:val="0"/>
          <w:bCs w:val="0"/>
          <w:sz w:val="22"/>
          <w:szCs w:val="22"/>
        </w:rPr>
      </w:pPr>
      <w:r w:rsidRPr="00D55922">
        <w:rPr>
          <w:rFonts w:ascii="Arial" w:hAnsi="Arial" w:cs="Arial"/>
          <w:b w:val="0"/>
          <w:bCs w:val="0"/>
          <w:sz w:val="22"/>
          <w:szCs w:val="22"/>
        </w:rPr>
        <w:t>About the Study</w:t>
      </w:r>
    </w:p>
    <w:p w14:paraId="32DE78EF" w14:textId="77777777" w:rsidR="00D04188" w:rsidRPr="00D55922" w:rsidRDefault="35ED0DC6" w:rsidP="00223F6A">
      <w:pPr>
        <w:spacing w:after="0" w:line="240" w:lineRule="auto"/>
        <w:contextualSpacing/>
        <w:rPr>
          <w:rFonts w:ascii="Arial" w:hAnsi="Arial" w:cs="Arial"/>
          <w:sz w:val="22"/>
        </w:rPr>
      </w:pPr>
      <w:r w:rsidRPr="00D55922">
        <w:rPr>
          <w:rFonts w:ascii="Arial" w:hAnsi="Arial" w:cs="Arial"/>
          <w:sz w:val="22"/>
        </w:rPr>
        <w:t xml:space="preserve">Adolescent and Emerging Adult Gambling in the United States was led by Lia Nower, J.D., Ph.D., of the Rutgers University Center for Gambling Studies, with funding from a Center of Excellence grant from the International Center for Responsible Gaming. </w:t>
      </w:r>
    </w:p>
    <w:p w14:paraId="69072B73" w14:textId="77777777" w:rsidR="00D04188" w:rsidRPr="00D55922" w:rsidRDefault="00D04188" w:rsidP="00223F6A">
      <w:pPr>
        <w:spacing w:after="0" w:line="240" w:lineRule="auto"/>
        <w:contextualSpacing/>
        <w:rPr>
          <w:rFonts w:ascii="Arial" w:hAnsi="Arial" w:cs="Arial"/>
          <w:sz w:val="22"/>
        </w:rPr>
      </w:pPr>
    </w:p>
    <w:p w14:paraId="0176019B" w14:textId="1DF038C7" w:rsidR="005958AE" w:rsidRPr="00D55922" w:rsidRDefault="35ED0DC6" w:rsidP="00223F6A">
      <w:pPr>
        <w:spacing w:after="0" w:line="240" w:lineRule="auto"/>
        <w:contextualSpacing/>
        <w:rPr>
          <w:rFonts w:ascii="Arial" w:hAnsi="Arial" w:cs="Arial"/>
          <w:sz w:val="22"/>
        </w:rPr>
      </w:pPr>
      <w:r w:rsidRPr="00D55922">
        <w:rPr>
          <w:rFonts w:ascii="Arial" w:hAnsi="Arial" w:cs="Arial"/>
          <w:sz w:val="22"/>
        </w:rPr>
        <w:t xml:space="preserve">Download the study here: </w:t>
      </w:r>
      <w:hyperlink r:id="rId12" w:history="1">
        <w:r w:rsidRPr="00D55922">
          <w:rPr>
            <w:rStyle w:val="Hyperlink"/>
            <w:rFonts w:ascii="Arial" w:hAnsi="Arial" w:cs="Arial"/>
            <w:sz w:val="22"/>
          </w:rPr>
          <w:t>socialwork.rutgers.edu/nationalgamblingstudy</w:t>
        </w:r>
      </w:hyperlink>
    </w:p>
    <w:p w14:paraId="03C697E5" w14:textId="77777777" w:rsidR="00D04188" w:rsidRPr="00D55922" w:rsidRDefault="00D04188" w:rsidP="00223F6A">
      <w:pPr>
        <w:spacing w:after="0" w:line="240" w:lineRule="auto"/>
        <w:contextualSpacing/>
        <w:rPr>
          <w:rFonts w:ascii="Arial" w:hAnsi="Arial" w:cs="Arial"/>
          <w:sz w:val="22"/>
        </w:rPr>
      </w:pPr>
    </w:p>
    <w:p w14:paraId="138B70F2" w14:textId="66DE9352" w:rsidR="006B5BCC" w:rsidRPr="00D55922" w:rsidRDefault="002718E7" w:rsidP="00223F6A">
      <w:pPr>
        <w:spacing w:after="0" w:line="240" w:lineRule="auto"/>
        <w:contextualSpacing/>
        <w:rPr>
          <w:rFonts w:ascii="Arial" w:hAnsi="Arial" w:cs="Arial"/>
          <w:sz w:val="22"/>
        </w:rPr>
      </w:pPr>
      <w:r w:rsidRPr="00D55922">
        <w:rPr>
          <w:rFonts w:ascii="Arial" w:hAnsi="Arial" w:cs="Arial"/>
          <w:sz w:val="22"/>
        </w:rPr>
        <w:t xml:space="preserve">The study surveyed a nationally representative, probability-based sample of 1,677 adolescents and young adults ages 13 to 27 between April 24 and July 4, 2026, using NORC’s </w:t>
      </w:r>
      <w:proofErr w:type="spellStart"/>
      <w:r w:rsidRPr="00D55922">
        <w:rPr>
          <w:rFonts w:ascii="Arial" w:hAnsi="Arial" w:cs="Arial"/>
          <w:sz w:val="22"/>
        </w:rPr>
        <w:t>AmeriSpeak</w:t>
      </w:r>
      <w:proofErr w:type="spellEnd"/>
      <w:r w:rsidRPr="00D55922">
        <w:rPr>
          <w:rFonts w:ascii="Arial" w:hAnsi="Arial" w:cs="Arial"/>
          <w:sz w:val="22"/>
        </w:rPr>
        <w:t xml:space="preserve"> panel. Results were weighted to national population benchmarks. The maximum margin of error was ±3.2 percentage points overall and ±6.1 percentage points for teens. </w:t>
      </w:r>
    </w:p>
    <w:p w14:paraId="4BCBDCB3" w14:textId="77777777" w:rsidR="00D04188" w:rsidRPr="00D55922" w:rsidRDefault="00D04188" w:rsidP="00223F6A">
      <w:pPr>
        <w:pStyle w:val="Heading2"/>
        <w:spacing w:before="0" w:line="240" w:lineRule="auto"/>
        <w:contextualSpacing/>
        <w:rPr>
          <w:rFonts w:ascii="Arial" w:hAnsi="Arial" w:cs="Arial"/>
          <w:b w:val="0"/>
          <w:bCs w:val="0"/>
          <w:sz w:val="22"/>
          <w:szCs w:val="22"/>
        </w:rPr>
      </w:pPr>
    </w:p>
    <w:p w14:paraId="6778AF68" w14:textId="325D9939" w:rsidR="006B5BCC" w:rsidRPr="00D55922" w:rsidRDefault="002718E7" w:rsidP="00223F6A">
      <w:pPr>
        <w:pStyle w:val="Heading2"/>
        <w:spacing w:before="0" w:line="240" w:lineRule="auto"/>
        <w:contextualSpacing/>
        <w:rPr>
          <w:rFonts w:ascii="Arial" w:hAnsi="Arial" w:cs="Arial"/>
          <w:b w:val="0"/>
          <w:bCs w:val="0"/>
          <w:sz w:val="22"/>
          <w:szCs w:val="22"/>
        </w:rPr>
      </w:pPr>
      <w:r w:rsidRPr="00D55922">
        <w:rPr>
          <w:rFonts w:ascii="Arial" w:hAnsi="Arial" w:cs="Arial"/>
          <w:b w:val="0"/>
          <w:bCs w:val="0"/>
          <w:sz w:val="22"/>
          <w:szCs w:val="22"/>
        </w:rPr>
        <w:t>About the Rutgers University Center for Gambling Studies</w:t>
      </w:r>
    </w:p>
    <w:p w14:paraId="1BEE16AB" w14:textId="77777777" w:rsidR="006B5BCC" w:rsidRPr="00D55922" w:rsidRDefault="002718E7" w:rsidP="00223F6A">
      <w:pPr>
        <w:spacing w:after="0" w:line="240" w:lineRule="auto"/>
        <w:contextualSpacing/>
        <w:rPr>
          <w:rFonts w:ascii="Arial" w:hAnsi="Arial" w:cs="Arial"/>
          <w:sz w:val="22"/>
        </w:rPr>
      </w:pPr>
      <w:r w:rsidRPr="00D55922">
        <w:rPr>
          <w:rFonts w:ascii="Arial" w:hAnsi="Arial" w:cs="Arial"/>
          <w:sz w:val="22"/>
        </w:rPr>
        <w:t>The Rutgers University Center for Gambling Studies is a multidisciplinary research, policy and training center dedicated to advancing understanding of gambling, gaming and other interactive technologies. Through independent, nonpartisan research, prevention initiatives, professional training and policy analysis, the Center works to reduce gambling-related harm and improve outcomes for individuals, families and communities.</w:t>
      </w:r>
    </w:p>
    <w:p w14:paraId="711FC8C1" w14:textId="77777777" w:rsidR="00D04188" w:rsidRPr="00D55922" w:rsidRDefault="00D04188" w:rsidP="00223F6A">
      <w:pPr>
        <w:pStyle w:val="Heading2"/>
        <w:spacing w:before="0" w:line="240" w:lineRule="auto"/>
        <w:contextualSpacing/>
        <w:rPr>
          <w:rFonts w:ascii="Arial" w:hAnsi="Arial" w:cs="Arial"/>
          <w:b w:val="0"/>
          <w:bCs w:val="0"/>
          <w:sz w:val="22"/>
          <w:szCs w:val="22"/>
        </w:rPr>
      </w:pPr>
    </w:p>
    <w:p w14:paraId="17E84CE1" w14:textId="23BEFDEA" w:rsidR="006B5BCC" w:rsidRPr="00D55922" w:rsidRDefault="002718E7" w:rsidP="00223F6A">
      <w:pPr>
        <w:pStyle w:val="Heading2"/>
        <w:spacing w:before="0" w:line="240" w:lineRule="auto"/>
        <w:contextualSpacing/>
        <w:rPr>
          <w:rFonts w:ascii="Arial" w:hAnsi="Arial" w:cs="Arial"/>
          <w:b w:val="0"/>
          <w:bCs w:val="0"/>
          <w:sz w:val="22"/>
          <w:szCs w:val="22"/>
        </w:rPr>
      </w:pPr>
      <w:r w:rsidRPr="00D55922">
        <w:rPr>
          <w:rFonts w:ascii="Arial" w:hAnsi="Arial" w:cs="Arial"/>
          <w:b w:val="0"/>
          <w:bCs w:val="0"/>
          <w:sz w:val="22"/>
          <w:szCs w:val="22"/>
        </w:rPr>
        <w:t>Media Contact</w:t>
      </w:r>
    </w:p>
    <w:p w14:paraId="326ADF70" w14:textId="03B96937" w:rsidR="00D04188" w:rsidRPr="00D55922" w:rsidRDefault="00DB56F9" w:rsidP="00DB56F9">
      <w:pPr>
        <w:shd w:val="clear" w:color="auto" w:fill="FFFFFF"/>
        <w:spacing w:after="0" w:line="240" w:lineRule="auto"/>
        <w:contextualSpacing/>
        <w:rPr>
          <w:rFonts w:ascii="Arial" w:hAnsi="Arial" w:cs="Arial"/>
          <w:sz w:val="22"/>
        </w:rPr>
      </w:pPr>
      <w:r w:rsidRPr="00D55922">
        <w:rPr>
          <w:rFonts w:ascii="Arial" w:hAnsi="Arial" w:cs="Arial"/>
          <w:sz w:val="22"/>
        </w:rPr>
        <w:t xml:space="preserve">Megan Schumann, 848.445.1907, </w:t>
      </w:r>
      <w:hyperlink r:id="rId13" w:history="1">
        <w:r w:rsidRPr="00D55922">
          <w:rPr>
            <w:rStyle w:val="Hyperlink"/>
            <w:rFonts w:ascii="Arial" w:hAnsi="Arial" w:cs="Arial"/>
            <w:color w:val="auto"/>
            <w:sz w:val="22"/>
          </w:rPr>
          <w:t>megan.schumann@rutgers.edu</w:t>
        </w:r>
      </w:hyperlink>
      <w:r w:rsidR="002718E7" w:rsidRPr="00D55922">
        <w:rPr>
          <w:rFonts w:ascii="Arial" w:hAnsi="Arial" w:cs="Arial"/>
          <w:sz w:val="22"/>
        </w:rPr>
        <w:br/>
      </w:r>
    </w:p>
    <w:p w14:paraId="45DA1467" w14:textId="6B6590A4" w:rsidR="006B5BCC" w:rsidRPr="00D55922" w:rsidRDefault="002718E7" w:rsidP="00223F6A">
      <w:pPr>
        <w:spacing w:after="0" w:line="240" w:lineRule="auto"/>
        <w:contextualSpacing/>
        <w:rPr>
          <w:rFonts w:ascii="Arial" w:hAnsi="Arial" w:cs="Arial"/>
          <w:sz w:val="22"/>
        </w:rPr>
      </w:pPr>
      <w:r w:rsidRPr="00D55922">
        <w:rPr>
          <w:rFonts w:ascii="Arial" w:hAnsi="Arial" w:cs="Arial"/>
          <w:sz w:val="22"/>
        </w:rPr>
        <w:t>Lia Nower, J.D., Ph.D.</w:t>
      </w:r>
      <w:r w:rsidRPr="00D55922">
        <w:rPr>
          <w:rFonts w:ascii="Arial" w:hAnsi="Arial" w:cs="Arial"/>
          <w:sz w:val="22"/>
        </w:rPr>
        <w:br/>
        <w:t>Director, Rutgers University Center for Gambling Studies</w:t>
      </w:r>
      <w:r w:rsidRPr="00D55922">
        <w:rPr>
          <w:rFonts w:ascii="Arial" w:hAnsi="Arial" w:cs="Arial"/>
          <w:sz w:val="22"/>
        </w:rPr>
        <w:br/>
        <w:t>Email: lnower@rutgers.edu</w:t>
      </w:r>
      <w:r w:rsidRPr="00D55922">
        <w:rPr>
          <w:rFonts w:ascii="Arial" w:hAnsi="Arial" w:cs="Arial"/>
          <w:sz w:val="22"/>
        </w:rPr>
        <w:br/>
        <w:t>Website: https://gambling.rutgers.edu</w:t>
      </w:r>
    </w:p>
    <w:sectPr w:rsidR="006B5BCC" w:rsidRPr="00D55922" w:rsidSect="00034616">
      <w:headerReference w:type="default" r:id="rId14"/>
      <w:pgSz w:w="12240" w:h="15840"/>
      <w:pgMar w:top="1440" w:right="1800" w:bottom="1440" w:left="180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A96F07" w14:textId="77777777" w:rsidR="008718DE" w:rsidRDefault="008718DE" w:rsidP="00FA7E84">
      <w:pPr>
        <w:spacing w:after="0" w:line="240" w:lineRule="auto"/>
      </w:pPr>
      <w:r>
        <w:separator/>
      </w:r>
    </w:p>
  </w:endnote>
  <w:endnote w:type="continuationSeparator" w:id="0">
    <w:p w14:paraId="753BE24C" w14:textId="77777777" w:rsidR="008718DE" w:rsidRDefault="008718DE" w:rsidP="00FA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C23BC9" w14:textId="77777777" w:rsidR="008718DE" w:rsidRDefault="008718DE" w:rsidP="00FA7E84">
      <w:pPr>
        <w:spacing w:after="0" w:line="240" w:lineRule="auto"/>
      </w:pPr>
      <w:r>
        <w:separator/>
      </w:r>
    </w:p>
  </w:footnote>
  <w:footnote w:type="continuationSeparator" w:id="0">
    <w:p w14:paraId="77032A22" w14:textId="77777777" w:rsidR="008718DE" w:rsidRDefault="008718DE" w:rsidP="00FA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66FC2" w14:textId="0C989FE7" w:rsidR="00FA7E84" w:rsidRDefault="00FA7E84">
    <w:pPr>
      <w:pStyle w:val="Header"/>
    </w:pPr>
    <w:r w:rsidRPr="00FA7E84">
      <w:rPr>
        <w:noProof/>
      </w:rPr>
      <w:drawing>
        <wp:inline distT="0" distB="0" distL="0" distR="0" wp14:anchorId="563B17D7" wp14:editId="6DA7DF6B">
          <wp:extent cx="2271932" cy="377866"/>
          <wp:effectExtent l="0" t="0" r="1905" b="3175"/>
          <wp:docPr id="1784329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29205" name=""/>
                  <pic:cNvPicPr/>
                </pic:nvPicPr>
                <pic:blipFill>
                  <a:blip r:embed="rId1"/>
                  <a:stretch>
                    <a:fillRect/>
                  </a:stretch>
                </pic:blipFill>
                <pic:spPr>
                  <a:xfrm>
                    <a:off x="0" y="0"/>
                    <a:ext cx="2316847" cy="38533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fqlrUxiLN6uMI" int2:id="WqeSjzqP">
      <int2:state int2:value="Rejected" int2:type="spell"/>
    </int2:textHash>
    <int2:textHash int2:hashCode="VHoAL9oe0YQcuZ" int2:id="sJSEU5YU">
      <int2:state int2:value="Rejected" int2:type="spell"/>
    </int2:textHash>
    <int2:textHash int2:hashCode="VVr2l6vykQiTK9" int2:id="PU1okzMf">
      <int2:state int2:value="Rejected" int2:type="spell"/>
    </int2:textHash>
    <int2:textHash int2:hashCode="UehlUk//u6eWdt" int2:id="TKuffmtk">
      <int2:state int2:value="Rejected" int2:type="spell"/>
    </int2:textHash>
    <int2:textHash int2:hashCode="5mFyNX48k6KgYx" int2:id="WbdMEew1">
      <int2:state int2:value="Rejected" int2:type="spell"/>
    </int2:textHash>
    <int2:bookmark int2:bookmarkName="_Int_AHsUjL3G" int2:invalidationBookmarkName="" int2:hashCode="od8FAmGKvC30tf" int2:id="dj15mJV6">
      <int2:state int2:value="Rejected" int2:type="gram"/>
    </int2:bookmark>
    <int2:bookmark int2:bookmarkName="_Int_nHnlYSKp" int2:invalidationBookmarkName="" int2:hashCode="xaM1wIDH7iICvl" int2:id="hZtzLWV1">
      <int2:state int2:value="Rejected" int2:type="gram"/>
    </int2:bookmark>
    <int2:bookmark int2:bookmarkName="_Int_8ohqoVuv" int2:invalidationBookmarkName="" int2:hashCode="PdMWT7TBm/1qep" int2:id="2EUushj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F893D9B"/>
    <w:multiLevelType w:val="multilevel"/>
    <w:tmpl w:val="7C3EBA3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A0C7209"/>
    <w:multiLevelType w:val="multilevel"/>
    <w:tmpl w:val="3EE8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E7764"/>
    <w:multiLevelType w:val="hybridMultilevel"/>
    <w:tmpl w:val="0C6CD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9275264">
    <w:abstractNumId w:val="8"/>
  </w:num>
  <w:num w:numId="2" w16cid:durableId="83914808">
    <w:abstractNumId w:val="6"/>
  </w:num>
  <w:num w:numId="3" w16cid:durableId="1032612976">
    <w:abstractNumId w:val="5"/>
  </w:num>
  <w:num w:numId="4" w16cid:durableId="114252313">
    <w:abstractNumId w:val="4"/>
  </w:num>
  <w:num w:numId="5" w16cid:durableId="433744226">
    <w:abstractNumId w:val="7"/>
  </w:num>
  <w:num w:numId="6" w16cid:durableId="1560676712">
    <w:abstractNumId w:val="3"/>
  </w:num>
  <w:num w:numId="7" w16cid:durableId="1919706148">
    <w:abstractNumId w:val="2"/>
  </w:num>
  <w:num w:numId="8" w16cid:durableId="1280141336">
    <w:abstractNumId w:val="1"/>
  </w:num>
  <w:num w:numId="9" w16cid:durableId="469708488">
    <w:abstractNumId w:val="0"/>
  </w:num>
  <w:num w:numId="10" w16cid:durableId="151822816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0111437">
    <w:abstractNumId w:val="10"/>
  </w:num>
  <w:num w:numId="12" w16cid:durableId="182820676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065"/>
    <w:rsid w:val="00023E93"/>
    <w:rsid w:val="0003055A"/>
    <w:rsid w:val="00033F67"/>
    <w:rsid w:val="00034616"/>
    <w:rsid w:val="000425BB"/>
    <w:rsid w:val="00053AA8"/>
    <w:rsid w:val="000546E8"/>
    <w:rsid w:val="0006063C"/>
    <w:rsid w:val="0006133D"/>
    <w:rsid w:val="00063E5B"/>
    <w:rsid w:val="000661DE"/>
    <w:rsid w:val="000678C7"/>
    <w:rsid w:val="00071F20"/>
    <w:rsid w:val="00077C0F"/>
    <w:rsid w:val="00086258"/>
    <w:rsid w:val="0008688B"/>
    <w:rsid w:val="000B783F"/>
    <w:rsid w:val="000C107E"/>
    <w:rsid w:val="000C57CE"/>
    <w:rsid w:val="000D28B5"/>
    <w:rsid w:val="000D3B8D"/>
    <w:rsid w:val="000D4554"/>
    <w:rsid w:val="000E099C"/>
    <w:rsid w:val="000E4E8F"/>
    <w:rsid w:val="000F1647"/>
    <w:rsid w:val="00112141"/>
    <w:rsid w:val="001137F1"/>
    <w:rsid w:val="00117878"/>
    <w:rsid w:val="00117E71"/>
    <w:rsid w:val="00122625"/>
    <w:rsid w:val="00134467"/>
    <w:rsid w:val="00135FB9"/>
    <w:rsid w:val="001411F8"/>
    <w:rsid w:val="001423CD"/>
    <w:rsid w:val="0014384E"/>
    <w:rsid w:val="0014744E"/>
    <w:rsid w:val="0015033D"/>
    <w:rsid w:val="0015074B"/>
    <w:rsid w:val="00151FEB"/>
    <w:rsid w:val="00152671"/>
    <w:rsid w:val="00153500"/>
    <w:rsid w:val="00172B11"/>
    <w:rsid w:val="001754BB"/>
    <w:rsid w:val="0018334A"/>
    <w:rsid w:val="00190D84"/>
    <w:rsid w:val="00195EF5"/>
    <w:rsid w:val="001A31E9"/>
    <w:rsid w:val="001B09C8"/>
    <w:rsid w:val="001B5EF1"/>
    <w:rsid w:val="001C1F7C"/>
    <w:rsid w:val="001C5E28"/>
    <w:rsid w:val="001D13A0"/>
    <w:rsid w:val="001D7B71"/>
    <w:rsid w:val="001E00C8"/>
    <w:rsid w:val="001E301F"/>
    <w:rsid w:val="001F4558"/>
    <w:rsid w:val="0021233B"/>
    <w:rsid w:val="00213B98"/>
    <w:rsid w:val="00215328"/>
    <w:rsid w:val="00217336"/>
    <w:rsid w:val="00217814"/>
    <w:rsid w:val="002200F2"/>
    <w:rsid w:val="00223F6A"/>
    <w:rsid w:val="0023442C"/>
    <w:rsid w:val="00236D75"/>
    <w:rsid w:val="00243FFF"/>
    <w:rsid w:val="002446FE"/>
    <w:rsid w:val="00255C9A"/>
    <w:rsid w:val="002674C1"/>
    <w:rsid w:val="00267CDF"/>
    <w:rsid w:val="002718E7"/>
    <w:rsid w:val="00271D5E"/>
    <w:rsid w:val="00277C68"/>
    <w:rsid w:val="00282715"/>
    <w:rsid w:val="00285601"/>
    <w:rsid w:val="002955BF"/>
    <w:rsid w:val="0029639D"/>
    <w:rsid w:val="002A738F"/>
    <w:rsid w:val="002B015E"/>
    <w:rsid w:val="002C0136"/>
    <w:rsid w:val="002C65EB"/>
    <w:rsid w:val="002D1BC4"/>
    <w:rsid w:val="002D2E7F"/>
    <w:rsid w:val="002E26A0"/>
    <w:rsid w:val="002E6CDD"/>
    <w:rsid w:val="002F189E"/>
    <w:rsid w:val="002F69B4"/>
    <w:rsid w:val="002F72C3"/>
    <w:rsid w:val="0031494D"/>
    <w:rsid w:val="00325CEE"/>
    <w:rsid w:val="00326F90"/>
    <w:rsid w:val="003277B3"/>
    <w:rsid w:val="00331BE5"/>
    <w:rsid w:val="00332FFD"/>
    <w:rsid w:val="0033532D"/>
    <w:rsid w:val="00340256"/>
    <w:rsid w:val="003653AB"/>
    <w:rsid w:val="00376481"/>
    <w:rsid w:val="0038448B"/>
    <w:rsid w:val="003909C2"/>
    <w:rsid w:val="003961BC"/>
    <w:rsid w:val="003A0643"/>
    <w:rsid w:val="003A6F3D"/>
    <w:rsid w:val="003C1610"/>
    <w:rsid w:val="003C7BA8"/>
    <w:rsid w:val="003D0638"/>
    <w:rsid w:val="003F1645"/>
    <w:rsid w:val="003F3943"/>
    <w:rsid w:val="003F5375"/>
    <w:rsid w:val="00400BBF"/>
    <w:rsid w:val="00401ED0"/>
    <w:rsid w:val="00411F17"/>
    <w:rsid w:val="00413DFF"/>
    <w:rsid w:val="00423019"/>
    <w:rsid w:val="004376AD"/>
    <w:rsid w:val="00437AA0"/>
    <w:rsid w:val="00440253"/>
    <w:rsid w:val="00440B02"/>
    <w:rsid w:val="00441585"/>
    <w:rsid w:val="00442165"/>
    <w:rsid w:val="00447C56"/>
    <w:rsid w:val="0045129F"/>
    <w:rsid w:val="0045164D"/>
    <w:rsid w:val="00451DC4"/>
    <w:rsid w:val="004575FC"/>
    <w:rsid w:val="00462607"/>
    <w:rsid w:val="00466D47"/>
    <w:rsid w:val="0047111B"/>
    <w:rsid w:val="00477B7A"/>
    <w:rsid w:val="00481EF7"/>
    <w:rsid w:val="00483B60"/>
    <w:rsid w:val="00491838"/>
    <w:rsid w:val="004A5E78"/>
    <w:rsid w:val="004C1F86"/>
    <w:rsid w:val="004D0E27"/>
    <w:rsid w:val="004D28A4"/>
    <w:rsid w:val="004E07D0"/>
    <w:rsid w:val="004E4E67"/>
    <w:rsid w:val="004F4766"/>
    <w:rsid w:val="004F7772"/>
    <w:rsid w:val="005039E2"/>
    <w:rsid w:val="0052131D"/>
    <w:rsid w:val="005271E9"/>
    <w:rsid w:val="00532042"/>
    <w:rsid w:val="00542FD3"/>
    <w:rsid w:val="005473A0"/>
    <w:rsid w:val="00554E17"/>
    <w:rsid w:val="00556CF1"/>
    <w:rsid w:val="00560C47"/>
    <w:rsid w:val="00571595"/>
    <w:rsid w:val="00571BB1"/>
    <w:rsid w:val="00575CB2"/>
    <w:rsid w:val="00576360"/>
    <w:rsid w:val="0059519D"/>
    <w:rsid w:val="005958AE"/>
    <w:rsid w:val="00596627"/>
    <w:rsid w:val="005A383B"/>
    <w:rsid w:val="005A58F1"/>
    <w:rsid w:val="005A7E28"/>
    <w:rsid w:val="005B6F00"/>
    <w:rsid w:val="005C03DC"/>
    <w:rsid w:val="005C0ADC"/>
    <w:rsid w:val="005C2EAF"/>
    <w:rsid w:val="005D5029"/>
    <w:rsid w:val="005E00A8"/>
    <w:rsid w:val="005E0E9D"/>
    <w:rsid w:val="005E17E9"/>
    <w:rsid w:val="005E4A50"/>
    <w:rsid w:val="005F225C"/>
    <w:rsid w:val="005F4BC5"/>
    <w:rsid w:val="00602EE1"/>
    <w:rsid w:val="00603DDC"/>
    <w:rsid w:val="00614921"/>
    <w:rsid w:val="00627062"/>
    <w:rsid w:val="00632D68"/>
    <w:rsid w:val="00642686"/>
    <w:rsid w:val="0064274B"/>
    <w:rsid w:val="00654826"/>
    <w:rsid w:val="00655F5F"/>
    <w:rsid w:val="00666C86"/>
    <w:rsid w:val="00680186"/>
    <w:rsid w:val="0068772C"/>
    <w:rsid w:val="00691BA9"/>
    <w:rsid w:val="006A3219"/>
    <w:rsid w:val="006A4780"/>
    <w:rsid w:val="006B0C64"/>
    <w:rsid w:val="006B5BCC"/>
    <w:rsid w:val="006C4856"/>
    <w:rsid w:val="006D12D9"/>
    <w:rsid w:val="006D12E5"/>
    <w:rsid w:val="006D2A37"/>
    <w:rsid w:val="006E2903"/>
    <w:rsid w:val="006E7940"/>
    <w:rsid w:val="00703865"/>
    <w:rsid w:val="0071537B"/>
    <w:rsid w:val="00722087"/>
    <w:rsid w:val="007223C2"/>
    <w:rsid w:val="00730155"/>
    <w:rsid w:val="0073131A"/>
    <w:rsid w:val="00732324"/>
    <w:rsid w:val="00732A47"/>
    <w:rsid w:val="00732A51"/>
    <w:rsid w:val="00746069"/>
    <w:rsid w:val="00747408"/>
    <w:rsid w:val="007479CA"/>
    <w:rsid w:val="007525A5"/>
    <w:rsid w:val="00762D7B"/>
    <w:rsid w:val="0076321A"/>
    <w:rsid w:val="00763E47"/>
    <w:rsid w:val="0077375B"/>
    <w:rsid w:val="00783109"/>
    <w:rsid w:val="00787929"/>
    <w:rsid w:val="00792435"/>
    <w:rsid w:val="00792C45"/>
    <w:rsid w:val="00793522"/>
    <w:rsid w:val="007A1961"/>
    <w:rsid w:val="007A1CBA"/>
    <w:rsid w:val="007A668A"/>
    <w:rsid w:val="007A6850"/>
    <w:rsid w:val="007B346E"/>
    <w:rsid w:val="007C55EB"/>
    <w:rsid w:val="007C5630"/>
    <w:rsid w:val="007D1190"/>
    <w:rsid w:val="007D13BB"/>
    <w:rsid w:val="007D42F5"/>
    <w:rsid w:val="007D4BB2"/>
    <w:rsid w:val="007D6DB6"/>
    <w:rsid w:val="007E12EE"/>
    <w:rsid w:val="007E288A"/>
    <w:rsid w:val="00801A23"/>
    <w:rsid w:val="00803FA5"/>
    <w:rsid w:val="0080591D"/>
    <w:rsid w:val="0080719F"/>
    <w:rsid w:val="00815595"/>
    <w:rsid w:val="0082188B"/>
    <w:rsid w:val="0085774C"/>
    <w:rsid w:val="008630BC"/>
    <w:rsid w:val="00863203"/>
    <w:rsid w:val="00863FBB"/>
    <w:rsid w:val="00864273"/>
    <w:rsid w:val="008718DE"/>
    <w:rsid w:val="00876DB8"/>
    <w:rsid w:val="008923B9"/>
    <w:rsid w:val="008A48FF"/>
    <w:rsid w:val="008A6475"/>
    <w:rsid w:val="008B436E"/>
    <w:rsid w:val="008C0CC2"/>
    <w:rsid w:val="008C3FCF"/>
    <w:rsid w:val="008D3CDE"/>
    <w:rsid w:val="008E1E5C"/>
    <w:rsid w:val="008E7647"/>
    <w:rsid w:val="008F2179"/>
    <w:rsid w:val="008F4D26"/>
    <w:rsid w:val="00914930"/>
    <w:rsid w:val="00921A14"/>
    <w:rsid w:val="00933A12"/>
    <w:rsid w:val="00944D0F"/>
    <w:rsid w:val="0094517F"/>
    <w:rsid w:val="00952C4D"/>
    <w:rsid w:val="00957CEB"/>
    <w:rsid w:val="00961611"/>
    <w:rsid w:val="00974CEC"/>
    <w:rsid w:val="00976CE9"/>
    <w:rsid w:val="00982CA5"/>
    <w:rsid w:val="00984160"/>
    <w:rsid w:val="00985706"/>
    <w:rsid w:val="00992B1B"/>
    <w:rsid w:val="00993619"/>
    <w:rsid w:val="00994054"/>
    <w:rsid w:val="009B5016"/>
    <w:rsid w:val="009B55F5"/>
    <w:rsid w:val="009B5CD9"/>
    <w:rsid w:val="009D64D5"/>
    <w:rsid w:val="009E66E9"/>
    <w:rsid w:val="009F4D55"/>
    <w:rsid w:val="00A00C4F"/>
    <w:rsid w:val="00A05A65"/>
    <w:rsid w:val="00A120AC"/>
    <w:rsid w:val="00A203FE"/>
    <w:rsid w:val="00A47E03"/>
    <w:rsid w:val="00A50E53"/>
    <w:rsid w:val="00A56357"/>
    <w:rsid w:val="00A568E6"/>
    <w:rsid w:val="00A57AB7"/>
    <w:rsid w:val="00A6275B"/>
    <w:rsid w:val="00A63340"/>
    <w:rsid w:val="00A77B81"/>
    <w:rsid w:val="00A87B90"/>
    <w:rsid w:val="00A91DBB"/>
    <w:rsid w:val="00A972AE"/>
    <w:rsid w:val="00AA1D8D"/>
    <w:rsid w:val="00AB1448"/>
    <w:rsid w:val="00AB3A15"/>
    <w:rsid w:val="00AC170E"/>
    <w:rsid w:val="00AC1B77"/>
    <w:rsid w:val="00AC60E0"/>
    <w:rsid w:val="00AD0E81"/>
    <w:rsid w:val="00AD7A8F"/>
    <w:rsid w:val="00AE7D7A"/>
    <w:rsid w:val="00AF1671"/>
    <w:rsid w:val="00AF7DEE"/>
    <w:rsid w:val="00B0072C"/>
    <w:rsid w:val="00B00F70"/>
    <w:rsid w:val="00B12D8E"/>
    <w:rsid w:val="00B168BF"/>
    <w:rsid w:val="00B16C43"/>
    <w:rsid w:val="00B329D7"/>
    <w:rsid w:val="00B32EC0"/>
    <w:rsid w:val="00B348B7"/>
    <w:rsid w:val="00B37259"/>
    <w:rsid w:val="00B47730"/>
    <w:rsid w:val="00B554E2"/>
    <w:rsid w:val="00B616BE"/>
    <w:rsid w:val="00B61FDA"/>
    <w:rsid w:val="00B620E3"/>
    <w:rsid w:val="00B713F8"/>
    <w:rsid w:val="00B85631"/>
    <w:rsid w:val="00B90676"/>
    <w:rsid w:val="00BA0FFA"/>
    <w:rsid w:val="00BA66E5"/>
    <w:rsid w:val="00BB5376"/>
    <w:rsid w:val="00BB64B3"/>
    <w:rsid w:val="00BB70DD"/>
    <w:rsid w:val="00BC70BC"/>
    <w:rsid w:val="00BD06B7"/>
    <w:rsid w:val="00BD3529"/>
    <w:rsid w:val="00BD5042"/>
    <w:rsid w:val="00BD6D18"/>
    <w:rsid w:val="00BF34BA"/>
    <w:rsid w:val="00BF564E"/>
    <w:rsid w:val="00BF6D7A"/>
    <w:rsid w:val="00BF6F2E"/>
    <w:rsid w:val="00C04B70"/>
    <w:rsid w:val="00C06E3B"/>
    <w:rsid w:val="00C12373"/>
    <w:rsid w:val="00C20F32"/>
    <w:rsid w:val="00C26F1A"/>
    <w:rsid w:val="00C3330E"/>
    <w:rsid w:val="00C36699"/>
    <w:rsid w:val="00C372D5"/>
    <w:rsid w:val="00C51B19"/>
    <w:rsid w:val="00C64474"/>
    <w:rsid w:val="00C72217"/>
    <w:rsid w:val="00C7463B"/>
    <w:rsid w:val="00C925EC"/>
    <w:rsid w:val="00CA7E4E"/>
    <w:rsid w:val="00CB0664"/>
    <w:rsid w:val="00CC25EB"/>
    <w:rsid w:val="00CD7B63"/>
    <w:rsid w:val="00CE385A"/>
    <w:rsid w:val="00D00ED1"/>
    <w:rsid w:val="00D04188"/>
    <w:rsid w:val="00D0722C"/>
    <w:rsid w:val="00D14193"/>
    <w:rsid w:val="00D232DA"/>
    <w:rsid w:val="00D23384"/>
    <w:rsid w:val="00D345CD"/>
    <w:rsid w:val="00D3522D"/>
    <w:rsid w:val="00D36EF0"/>
    <w:rsid w:val="00D52410"/>
    <w:rsid w:val="00D5465D"/>
    <w:rsid w:val="00D55922"/>
    <w:rsid w:val="00D57E3B"/>
    <w:rsid w:val="00D8018A"/>
    <w:rsid w:val="00D8485F"/>
    <w:rsid w:val="00D84EFE"/>
    <w:rsid w:val="00D972EB"/>
    <w:rsid w:val="00DA4A9D"/>
    <w:rsid w:val="00DB17BB"/>
    <w:rsid w:val="00DB2923"/>
    <w:rsid w:val="00DB56F9"/>
    <w:rsid w:val="00DD6E8A"/>
    <w:rsid w:val="00DE6FD7"/>
    <w:rsid w:val="00DF5C81"/>
    <w:rsid w:val="00E34B3A"/>
    <w:rsid w:val="00E4123C"/>
    <w:rsid w:val="00E72441"/>
    <w:rsid w:val="00E809BB"/>
    <w:rsid w:val="00E9093A"/>
    <w:rsid w:val="00E965EE"/>
    <w:rsid w:val="00E966F8"/>
    <w:rsid w:val="00E97614"/>
    <w:rsid w:val="00EB2906"/>
    <w:rsid w:val="00EB2C0F"/>
    <w:rsid w:val="00EC643A"/>
    <w:rsid w:val="00ED2B87"/>
    <w:rsid w:val="00ED4C1A"/>
    <w:rsid w:val="00ED5CCF"/>
    <w:rsid w:val="00EF0DA9"/>
    <w:rsid w:val="00EF1B8E"/>
    <w:rsid w:val="00EF3DFB"/>
    <w:rsid w:val="00F05AC1"/>
    <w:rsid w:val="00F10529"/>
    <w:rsid w:val="00F11598"/>
    <w:rsid w:val="00F14F46"/>
    <w:rsid w:val="00F15F7C"/>
    <w:rsid w:val="00F162CF"/>
    <w:rsid w:val="00F200DB"/>
    <w:rsid w:val="00F23DAD"/>
    <w:rsid w:val="00F37812"/>
    <w:rsid w:val="00F43096"/>
    <w:rsid w:val="00F51064"/>
    <w:rsid w:val="00F512B2"/>
    <w:rsid w:val="00F55DC9"/>
    <w:rsid w:val="00F57F88"/>
    <w:rsid w:val="00F63A77"/>
    <w:rsid w:val="00F6760A"/>
    <w:rsid w:val="00F67A5E"/>
    <w:rsid w:val="00F82310"/>
    <w:rsid w:val="00FA040F"/>
    <w:rsid w:val="00FA11B1"/>
    <w:rsid w:val="00FA7E84"/>
    <w:rsid w:val="00FC6112"/>
    <w:rsid w:val="00FC693F"/>
    <w:rsid w:val="00FD372F"/>
    <w:rsid w:val="00FF035A"/>
    <w:rsid w:val="00FF2D78"/>
    <w:rsid w:val="00FF417F"/>
    <w:rsid w:val="00FF5CD3"/>
    <w:rsid w:val="1BF40421"/>
    <w:rsid w:val="35ED0D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187CD"/>
  <w14:defaultImageDpi w14:val="300"/>
  <w15:docId w15:val="{A38A37E2-FA9C-4949-BC71-504CAF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AC60E0"/>
    <w:pPr>
      <w:spacing w:after="160" w:line="240" w:lineRule="auto"/>
    </w:pPr>
    <w:rPr>
      <w:rFonts w:asciiTheme="minorHAnsi" w:hAnsiTheme="minorHAnsi"/>
      <w:kern w:val="2"/>
      <w:szCs w:val="20"/>
      <w14:ligatures w14:val="standardContextual"/>
    </w:rPr>
  </w:style>
  <w:style w:type="character" w:customStyle="1" w:styleId="CommentTextChar">
    <w:name w:val="Comment Text Char"/>
    <w:basedOn w:val="DefaultParagraphFont"/>
    <w:link w:val="CommentText"/>
    <w:uiPriority w:val="99"/>
    <w:rsid w:val="00AC60E0"/>
    <w:rPr>
      <w:kern w:val="2"/>
      <w:sz w:val="20"/>
      <w:szCs w:val="20"/>
      <w14:ligatures w14:val="standardContextual"/>
    </w:rPr>
  </w:style>
  <w:style w:type="character" w:styleId="CommentReference">
    <w:name w:val="annotation reference"/>
    <w:basedOn w:val="DefaultParagraphFont"/>
    <w:uiPriority w:val="99"/>
    <w:semiHidden/>
    <w:unhideWhenUsed/>
    <w:rsid w:val="00AC60E0"/>
    <w:rPr>
      <w:sz w:val="16"/>
      <w:szCs w:val="16"/>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rsid w:val="00C372D5"/>
    <w:pPr>
      <w:spacing w:after="0" w:line="240" w:lineRule="auto"/>
    </w:pPr>
    <w:rPr>
      <w:rFonts w:ascii="Aptos" w:hAnsi="Aptos"/>
      <w:sz w:val="20"/>
    </w:rPr>
  </w:style>
  <w:style w:type="character" w:styleId="FollowedHyperlink">
    <w:name w:val="FollowedHyperlink"/>
    <w:basedOn w:val="DefaultParagraphFont"/>
    <w:uiPriority w:val="99"/>
    <w:semiHidden/>
    <w:unhideWhenUsed/>
    <w:rsid w:val="0015350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153500"/>
    <w:pPr>
      <w:spacing w:after="140"/>
    </w:pPr>
    <w:rPr>
      <w:rFonts w:ascii="Aptos" w:hAnsi="Aptos"/>
      <w:b/>
      <w:bCs/>
      <w:kern w:val="0"/>
      <w14:ligatures w14:val="none"/>
    </w:rPr>
  </w:style>
  <w:style w:type="character" w:customStyle="1" w:styleId="CommentSubjectChar">
    <w:name w:val="Comment Subject Char"/>
    <w:basedOn w:val="CommentTextChar"/>
    <w:link w:val="CommentSubject"/>
    <w:uiPriority w:val="99"/>
    <w:semiHidden/>
    <w:rsid w:val="00153500"/>
    <w:rPr>
      <w:rFonts w:ascii="Aptos" w:hAnsi="Aptos"/>
      <w:b/>
      <w:bCs/>
      <w:kern w:val="2"/>
      <w:sz w:val="20"/>
      <w:szCs w:val="20"/>
      <w14:ligatures w14:val="standardContextual"/>
    </w:rPr>
  </w:style>
  <w:style w:type="character" w:styleId="UnresolvedMention">
    <w:name w:val="Unresolved Mention"/>
    <w:basedOn w:val="DefaultParagraphFont"/>
    <w:uiPriority w:val="99"/>
    <w:semiHidden/>
    <w:unhideWhenUsed/>
    <w:rsid w:val="00D04188"/>
    <w:rPr>
      <w:color w:val="605E5C"/>
      <w:shd w:val="clear" w:color="auto" w:fill="E1DFDD"/>
    </w:rPr>
  </w:style>
  <w:style w:type="paragraph" w:styleId="NormalWeb">
    <w:name w:val="Normal (Web)"/>
    <w:basedOn w:val="Normal"/>
    <w:uiPriority w:val="99"/>
    <w:unhideWhenUsed/>
    <w:rsid w:val="000D28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schumann@rutgers.edu" TargetMode="External"/><Relationship Id="rId13" Type="http://schemas.openxmlformats.org/officeDocument/2006/relationships/hyperlink" Target="mailto:megan.schumann@rutger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cialwork.rutgers.edu/nationalgamblingstudy" TargetMode="Externa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2.safelinks.protection.outlook.com/?url=https%3A%2F%2Flink.springer.com%2Farticle%2F10.1007%2Fs10899-007-9086-0&amp;data=05%7C02%7Cmegan.schumann%40rutgers.edu%7C9a870a8cf26d46fa4b5e08df345950c2%7Cb92d2b234d35447093ff69aca6632ffe%7C1%7C0%7C639287230337568450%7CUnknown%7CTWFpbGZsb3d8eyJFbXB0eU1hcGkiOnRydWUsIlYiOiIwLjAuMDAwMCIsIlAiOiJXaW4zMiIsIkFOIjoiTWFpbCIsIldUIjoyfQ%3D%3D%7C0%7C%7C%7C&amp;sdata=nenbc8lWeRtI58ERFbP%2B7wisuGdWbDd9tmKcQ%2BmMjXU%3D&amp;reserve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ocialwork.rutgers.edu/lia-nower" TargetMode="External"/><Relationship Id="rId4" Type="http://schemas.openxmlformats.org/officeDocument/2006/relationships/settings" Target="settings.xml"/><Relationship Id="rId9" Type="http://schemas.openxmlformats.org/officeDocument/2006/relationships/hyperlink" Target="http://socialwork.rutgers.edu/nationalgamblingstud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1294</Words>
  <Characters>7382</Characters>
  <Application>Microsoft Office Word</Application>
  <DocSecurity>0</DocSecurity>
  <Lines>61</Lines>
  <Paragraphs>17</Paragraphs>
  <ScaleCrop>false</ScaleCrop>
  <Manager/>
  <Company/>
  <LinksUpToDate>false</LinksUpToDate>
  <CharactersWithSpaces>8659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Lia N</cp:lastModifiedBy>
  <cp:revision>21</cp:revision>
  <dcterms:created xsi:type="dcterms:W3CDTF">2026-10-28T03:15:00Z</dcterms:created>
  <dcterms:modified xsi:type="dcterms:W3CDTF">2026-10-28T03:36:00Z</dcterms:modified>
  <cp:category/>
</cp:coreProperties>
</file>